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69" w:rsidRDefault="00FA3969" w:rsidP="00EF4013">
      <w:pPr>
        <w:spacing w:after="0" w:line="240" w:lineRule="auto"/>
        <w:jc w:val="center"/>
        <w:rPr>
          <w:rFonts w:ascii="Times New Roman" w:hAnsi="Times New Roman" w:cs="Times New Roman"/>
          <w:b/>
          <w:sz w:val="28"/>
          <w:szCs w:val="28"/>
        </w:rPr>
      </w:pPr>
    </w:p>
    <w:p w:rsidR="00FA3969" w:rsidRPr="00FA3969" w:rsidRDefault="00FA3969" w:rsidP="00EF4013">
      <w:pPr>
        <w:spacing w:after="0" w:line="240" w:lineRule="auto"/>
        <w:jc w:val="center"/>
        <w:rPr>
          <w:rFonts w:ascii="Times New Roman" w:hAnsi="Times New Roman" w:cs="Times New Roman"/>
          <w:b/>
          <w:sz w:val="24"/>
          <w:szCs w:val="24"/>
        </w:rPr>
      </w:pPr>
    </w:p>
    <w:p w:rsidR="00EF4013" w:rsidRPr="00EF4013" w:rsidRDefault="00A72D73" w:rsidP="00FA3969">
      <w:pPr>
        <w:spacing w:after="0" w:line="240" w:lineRule="auto"/>
        <w:jc w:val="center"/>
        <w:rPr>
          <w:rFonts w:ascii="Times New Roman" w:hAnsi="Times New Roman" w:cs="Times New Roman"/>
          <w:b/>
          <w:sz w:val="28"/>
          <w:szCs w:val="28"/>
        </w:rPr>
      </w:pPr>
      <w:r w:rsidRPr="00387CF3">
        <w:rPr>
          <w:rFonts w:ascii="Times New Roman" w:hAnsi="Times New Roman" w:cs="Times New Roman"/>
          <w:b/>
          <w:sz w:val="28"/>
          <w:szCs w:val="28"/>
        </w:rPr>
        <w:t xml:space="preserve">Comportamento dos preços de milho e feijão </w:t>
      </w:r>
      <w:proofErr w:type="spellStart"/>
      <w:r w:rsidRPr="00387CF3">
        <w:rPr>
          <w:rFonts w:ascii="Times New Roman" w:hAnsi="Times New Roman" w:cs="Times New Roman"/>
          <w:b/>
          <w:sz w:val="28"/>
          <w:szCs w:val="28"/>
        </w:rPr>
        <w:t>caupi</w:t>
      </w:r>
      <w:proofErr w:type="spellEnd"/>
      <w:r w:rsidRPr="00387CF3">
        <w:rPr>
          <w:rFonts w:ascii="Times New Roman" w:hAnsi="Times New Roman" w:cs="Times New Roman"/>
          <w:b/>
          <w:sz w:val="28"/>
          <w:szCs w:val="28"/>
        </w:rPr>
        <w:t xml:space="preserve"> no mercado do estado do Ceará</w:t>
      </w:r>
    </w:p>
    <w:p w:rsidR="00EF4013" w:rsidRPr="00EF4013" w:rsidRDefault="00EF4013" w:rsidP="00EF4013">
      <w:pPr>
        <w:spacing w:after="0" w:line="240" w:lineRule="auto"/>
        <w:jc w:val="center"/>
        <w:rPr>
          <w:rFonts w:ascii="Times New Roman" w:hAnsi="Times New Roman" w:cs="Times New Roman"/>
          <w:b/>
          <w:i/>
          <w:sz w:val="20"/>
          <w:szCs w:val="20"/>
        </w:rPr>
      </w:pPr>
    </w:p>
    <w:p w:rsidR="00EF4013" w:rsidRPr="00A72D73" w:rsidRDefault="00A72D73" w:rsidP="00EF4013">
      <w:pPr>
        <w:spacing w:after="0" w:line="240" w:lineRule="auto"/>
        <w:jc w:val="center"/>
        <w:rPr>
          <w:rFonts w:ascii="Times New Roman" w:hAnsi="Times New Roman" w:cs="Times New Roman"/>
          <w:b/>
          <w:i/>
          <w:sz w:val="28"/>
          <w:szCs w:val="28"/>
          <w:lang w:val="en-US"/>
        </w:rPr>
      </w:pPr>
      <w:r w:rsidRPr="00A72D73">
        <w:rPr>
          <w:rFonts w:ascii="Times New Roman" w:hAnsi="Times New Roman" w:cs="Times New Roman"/>
          <w:b/>
          <w:i/>
          <w:sz w:val="28"/>
          <w:szCs w:val="28"/>
          <w:lang w:val="en-US"/>
        </w:rPr>
        <w:t xml:space="preserve">Behavior of corn prices and bean cowpea marketing of </w:t>
      </w:r>
      <w:proofErr w:type="spellStart"/>
      <w:r w:rsidRPr="00A72D73">
        <w:rPr>
          <w:rFonts w:ascii="Times New Roman" w:hAnsi="Times New Roman" w:cs="Times New Roman"/>
          <w:b/>
          <w:i/>
          <w:sz w:val="28"/>
          <w:szCs w:val="28"/>
          <w:lang w:val="en-US"/>
        </w:rPr>
        <w:t>Ceará</w:t>
      </w:r>
      <w:proofErr w:type="spellEnd"/>
      <w:r w:rsidRPr="00A72D73">
        <w:rPr>
          <w:rFonts w:ascii="Times New Roman" w:hAnsi="Times New Roman" w:cs="Times New Roman"/>
          <w:b/>
          <w:i/>
          <w:sz w:val="28"/>
          <w:szCs w:val="28"/>
          <w:lang w:val="en-US"/>
        </w:rPr>
        <w:t xml:space="preserve"> state</w:t>
      </w:r>
    </w:p>
    <w:p w:rsidR="003A3FCC" w:rsidRDefault="003A3FCC" w:rsidP="00445F28">
      <w:pPr>
        <w:pStyle w:val="SemEspaamento"/>
        <w:jc w:val="both"/>
        <w:rPr>
          <w:rFonts w:ascii="Times New Roman" w:hAnsi="Times New Roman"/>
          <w:b/>
          <w:sz w:val="20"/>
          <w:szCs w:val="20"/>
          <w:lang w:eastAsia="pt-BR"/>
        </w:rPr>
      </w:pPr>
    </w:p>
    <w:p w:rsidR="003A3FCC" w:rsidRDefault="003A3FCC" w:rsidP="00445F28">
      <w:pPr>
        <w:pStyle w:val="SemEspaamento"/>
        <w:jc w:val="both"/>
        <w:rPr>
          <w:rFonts w:ascii="Times New Roman" w:hAnsi="Times New Roman"/>
          <w:b/>
          <w:sz w:val="20"/>
          <w:szCs w:val="20"/>
          <w:lang w:eastAsia="pt-BR"/>
        </w:rPr>
      </w:pPr>
    </w:p>
    <w:p w:rsidR="00445F28" w:rsidRPr="00302109" w:rsidRDefault="00FE43B7" w:rsidP="00445F28">
      <w:pPr>
        <w:pStyle w:val="SemEspaamento"/>
        <w:jc w:val="both"/>
        <w:rPr>
          <w:rFonts w:ascii="Times New Roman" w:hAnsi="Times New Roman"/>
          <w:sz w:val="20"/>
          <w:szCs w:val="20"/>
          <w:lang w:eastAsia="pt-BR"/>
        </w:rPr>
      </w:pPr>
      <w:r w:rsidRPr="006161B2">
        <w:rPr>
          <w:rFonts w:ascii="Times New Roman" w:hAnsi="Times New Roman"/>
          <w:b/>
          <w:sz w:val="20"/>
          <w:szCs w:val="20"/>
          <w:lang w:eastAsia="pt-BR"/>
        </w:rPr>
        <w:t xml:space="preserve">Resumo: </w:t>
      </w:r>
      <w:r w:rsidR="00302109" w:rsidRPr="00302109">
        <w:rPr>
          <w:rFonts w:ascii="Times New Roman" w:hAnsi="Times New Roman"/>
          <w:sz w:val="20"/>
          <w:szCs w:val="20"/>
          <w:lang w:eastAsia="pt-BR"/>
        </w:rPr>
        <w:t>A agricultura de subsistência (geralmente milho e feijão</w:t>
      </w:r>
      <w:r w:rsidR="000F4904">
        <w:rPr>
          <w:rFonts w:ascii="Times New Roman" w:hAnsi="Times New Roman"/>
          <w:sz w:val="20"/>
          <w:szCs w:val="20"/>
          <w:lang w:eastAsia="pt-BR"/>
        </w:rPr>
        <w:t xml:space="preserve"> </w:t>
      </w:r>
      <w:proofErr w:type="spellStart"/>
      <w:r w:rsidR="000F4904">
        <w:rPr>
          <w:rFonts w:ascii="Times New Roman" w:hAnsi="Times New Roman"/>
          <w:sz w:val="20"/>
          <w:szCs w:val="20"/>
          <w:lang w:eastAsia="pt-BR"/>
        </w:rPr>
        <w:t>caupi</w:t>
      </w:r>
      <w:proofErr w:type="spellEnd"/>
      <w:r w:rsidR="00302109" w:rsidRPr="00302109">
        <w:rPr>
          <w:rFonts w:ascii="Times New Roman" w:hAnsi="Times New Roman"/>
          <w:sz w:val="20"/>
          <w:szCs w:val="20"/>
          <w:lang w:eastAsia="pt-BR"/>
        </w:rPr>
        <w:t xml:space="preserve">) é a atividade econômica mais importante na Região Nordeste, sendo a baixa disponibilidade de água o principal obstáculo para a produção agrícola. O estudo dos preços dessas culturas torna-se importante ferramenta de tomada de decisão por parte de produtores, sendo a análise de sazonalidade a metodologia mais empregada no âmbito de análise de preços. O presente trabalho teve como objetivo analisar a sazonalidade dos preços </w:t>
      </w:r>
      <w:r w:rsidR="000F4904">
        <w:rPr>
          <w:rFonts w:ascii="Times New Roman" w:hAnsi="Times New Roman"/>
          <w:sz w:val="20"/>
          <w:szCs w:val="20"/>
          <w:lang w:eastAsia="pt-BR"/>
        </w:rPr>
        <w:t xml:space="preserve">do milho e feijão </w:t>
      </w:r>
      <w:proofErr w:type="spellStart"/>
      <w:r w:rsidR="000F4904">
        <w:rPr>
          <w:rFonts w:ascii="Times New Roman" w:hAnsi="Times New Roman"/>
          <w:sz w:val="20"/>
          <w:szCs w:val="20"/>
          <w:lang w:eastAsia="pt-BR"/>
        </w:rPr>
        <w:t>caupi</w:t>
      </w:r>
      <w:proofErr w:type="spellEnd"/>
      <w:r w:rsidR="00302109" w:rsidRPr="00302109">
        <w:rPr>
          <w:rFonts w:ascii="Times New Roman" w:hAnsi="Times New Roman"/>
          <w:sz w:val="20"/>
          <w:szCs w:val="20"/>
          <w:lang w:eastAsia="pt-BR"/>
        </w:rPr>
        <w:t xml:space="preserve"> produzidas no Estado do Ceará. Foi analisado o período de janeiro de 2005 </w:t>
      </w:r>
      <w:proofErr w:type="gramStart"/>
      <w:r w:rsidR="00302109" w:rsidRPr="00302109">
        <w:rPr>
          <w:rFonts w:ascii="Times New Roman" w:hAnsi="Times New Roman"/>
          <w:sz w:val="20"/>
          <w:szCs w:val="20"/>
          <w:lang w:eastAsia="pt-BR"/>
        </w:rPr>
        <w:t>à</w:t>
      </w:r>
      <w:proofErr w:type="gramEnd"/>
      <w:r w:rsidR="00302109" w:rsidRPr="00302109">
        <w:rPr>
          <w:rFonts w:ascii="Times New Roman" w:hAnsi="Times New Roman"/>
          <w:sz w:val="20"/>
          <w:szCs w:val="20"/>
          <w:lang w:eastAsia="pt-BR"/>
        </w:rPr>
        <w:t xml:space="preserve"> dezembro de 2014. A determinação dos índices estacionais de preços para a realização da análise de sazonalidade foi realizada através do método da média aritmética móvel centrada em 12 meses. O índice foi utilizado com a base em dezembro de 2014. Com a série de preços deflacionados calculou-se a média móvel centrada para cada mês a partir mês de julho de 2005 até o mês de junho de 2014. Com as médias determinadas calculou-se o IEP (índice estacional de preço). As culturas de milho e feijão apresentam padrões distintos de sazonalidade, podendo esta característica servir de base para o planejamento de produtores.</w:t>
      </w:r>
    </w:p>
    <w:p w:rsidR="00445F28" w:rsidRPr="006161B2" w:rsidRDefault="00445F28" w:rsidP="00445F28">
      <w:pPr>
        <w:autoSpaceDE w:val="0"/>
        <w:autoSpaceDN w:val="0"/>
        <w:adjustRightInd w:val="0"/>
        <w:spacing w:after="0" w:line="240" w:lineRule="auto"/>
        <w:jc w:val="both"/>
        <w:rPr>
          <w:rFonts w:ascii="Times New Roman" w:hAnsi="Times New Roman"/>
          <w:b/>
          <w:sz w:val="20"/>
          <w:szCs w:val="20"/>
          <w:lang w:eastAsia="pt-BR"/>
        </w:rPr>
      </w:pPr>
    </w:p>
    <w:p w:rsidR="00445F28" w:rsidRPr="00FE43B7" w:rsidRDefault="00445F28" w:rsidP="00445F28">
      <w:pPr>
        <w:autoSpaceDE w:val="0"/>
        <w:autoSpaceDN w:val="0"/>
        <w:adjustRightInd w:val="0"/>
        <w:spacing w:after="0" w:line="240" w:lineRule="auto"/>
        <w:jc w:val="both"/>
        <w:rPr>
          <w:rFonts w:ascii="Times New Roman" w:hAnsi="Times New Roman"/>
          <w:sz w:val="20"/>
          <w:szCs w:val="20"/>
          <w:lang w:eastAsia="pt-BR"/>
        </w:rPr>
      </w:pPr>
      <w:r w:rsidRPr="00FE43B7">
        <w:rPr>
          <w:rFonts w:ascii="Times New Roman" w:hAnsi="Times New Roman"/>
          <w:b/>
          <w:sz w:val="20"/>
          <w:szCs w:val="20"/>
          <w:lang w:eastAsia="pt-BR"/>
        </w:rPr>
        <w:t xml:space="preserve">Palavras-chaves: </w:t>
      </w:r>
      <w:r w:rsidR="009E5E56" w:rsidRPr="009E5E56">
        <w:rPr>
          <w:rFonts w:ascii="Times New Roman" w:hAnsi="Times New Roman"/>
          <w:sz w:val="20"/>
          <w:szCs w:val="20"/>
          <w:lang w:eastAsia="pt-BR"/>
        </w:rPr>
        <w:t>sazon</w:t>
      </w:r>
      <w:r w:rsidR="00A240DA">
        <w:rPr>
          <w:rFonts w:ascii="Times New Roman" w:hAnsi="Times New Roman"/>
          <w:sz w:val="20"/>
          <w:szCs w:val="20"/>
          <w:lang w:eastAsia="pt-BR"/>
        </w:rPr>
        <w:t xml:space="preserve">alidade, deflação, planejamento, </w:t>
      </w:r>
      <w:proofErr w:type="gramStart"/>
      <w:r w:rsidR="00A240DA">
        <w:rPr>
          <w:rFonts w:ascii="Times New Roman" w:hAnsi="Times New Roman"/>
          <w:sz w:val="20"/>
          <w:szCs w:val="20"/>
          <w:lang w:eastAsia="pt-BR"/>
        </w:rPr>
        <w:t>semiárido</w:t>
      </w:r>
      <w:proofErr w:type="gramEnd"/>
    </w:p>
    <w:p w:rsidR="00FE43B7" w:rsidRPr="00FE43B7" w:rsidRDefault="00FE43B7" w:rsidP="00FE43B7">
      <w:pPr>
        <w:autoSpaceDE w:val="0"/>
        <w:autoSpaceDN w:val="0"/>
        <w:adjustRightInd w:val="0"/>
        <w:spacing w:after="0" w:line="240" w:lineRule="auto"/>
        <w:jc w:val="both"/>
        <w:rPr>
          <w:rFonts w:ascii="Times New Roman" w:hAnsi="Times New Roman"/>
          <w:b/>
          <w:sz w:val="20"/>
          <w:szCs w:val="20"/>
          <w:lang w:eastAsia="pt-BR"/>
        </w:rPr>
      </w:pPr>
    </w:p>
    <w:p w:rsidR="00FE43B7" w:rsidRPr="00DE5D25" w:rsidRDefault="006C6970" w:rsidP="00FE43B7">
      <w:pPr>
        <w:autoSpaceDE w:val="0"/>
        <w:autoSpaceDN w:val="0"/>
        <w:adjustRightInd w:val="0"/>
        <w:spacing w:after="0" w:line="240" w:lineRule="auto"/>
        <w:jc w:val="both"/>
        <w:rPr>
          <w:rFonts w:ascii="Times New Roman" w:hAnsi="Times New Roman"/>
          <w:sz w:val="20"/>
          <w:szCs w:val="20"/>
          <w:lang w:val="en-US" w:eastAsia="pt-BR"/>
        </w:rPr>
      </w:pPr>
      <w:r w:rsidRPr="00CC79EC">
        <w:rPr>
          <w:rFonts w:ascii="Times New Roman" w:hAnsi="Times New Roman"/>
          <w:b/>
          <w:sz w:val="20"/>
          <w:szCs w:val="20"/>
          <w:lang w:val="en-US"/>
        </w:rPr>
        <w:t>Abstract</w:t>
      </w:r>
      <w:r w:rsidR="00FE43B7" w:rsidRPr="00CC79EC">
        <w:rPr>
          <w:rFonts w:ascii="Times New Roman" w:hAnsi="Times New Roman"/>
          <w:b/>
          <w:sz w:val="20"/>
          <w:szCs w:val="20"/>
          <w:lang w:val="en-US" w:eastAsia="pt-BR"/>
        </w:rPr>
        <w:t xml:space="preserve">: </w:t>
      </w:r>
      <w:r w:rsidR="00DE5D25" w:rsidRPr="00CC79EC">
        <w:rPr>
          <w:rFonts w:ascii="Times New Roman" w:hAnsi="Times New Roman"/>
          <w:sz w:val="20"/>
          <w:szCs w:val="20"/>
          <w:lang w:val="en-US"/>
        </w:rPr>
        <w:t xml:space="preserve">The subsistence agriculture (usually corn and </w:t>
      </w:r>
      <w:r w:rsidR="00CE2927">
        <w:rPr>
          <w:rFonts w:ascii="Times New Roman" w:hAnsi="Times New Roman"/>
          <w:sz w:val="20"/>
          <w:szCs w:val="20"/>
          <w:lang w:val="en-US"/>
        </w:rPr>
        <w:t>cowpea</w:t>
      </w:r>
      <w:r w:rsidR="00DE5D25" w:rsidRPr="00CC79EC">
        <w:rPr>
          <w:rFonts w:ascii="Times New Roman" w:hAnsi="Times New Roman"/>
          <w:sz w:val="20"/>
          <w:szCs w:val="20"/>
          <w:lang w:val="en-US"/>
        </w:rPr>
        <w:t xml:space="preserve">) is the most important economic activity in the Northeast and the availability of water is the main obstacle to agricultural production. </w:t>
      </w:r>
      <w:r w:rsidR="00DE5D25" w:rsidRPr="00DE5D25">
        <w:rPr>
          <w:rFonts w:ascii="Times New Roman" w:hAnsi="Times New Roman"/>
          <w:sz w:val="20"/>
          <w:szCs w:val="20"/>
          <w:lang w:val="en-US"/>
        </w:rPr>
        <w:t xml:space="preserve">The study price of these cultures it is important decision-making tool by producers, and seasonality analysis methodology employed within more price analysis. This study aimed to analyze the seasonality of prices of </w:t>
      </w:r>
      <w:r w:rsidR="00CE2927">
        <w:rPr>
          <w:rFonts w:ascii="Times New Roman" w:hAnsi="Times New Roman"/>
          <w:sz w:val="20"/>
          <w:szCs w:val="20"/>
          <w:lang w:val="en-US"/>
        </w:rPr>
        <w:t xml:space="preserve">the </w:t>
      </w:r>
      <w:r w:rsidR="00DE5D25" w:rsidRPr="00DE5D25">
        <w:rPr>
          <w:rFonts w:ascii="Times New Roman" w:hAnsi="Times New Roman"/>
          <w:sz w:val="20"/>
          <w:szCs w:val="20"/>
          <w:lang w:val="en-US"/>
        </w:rPr>
        <w:t xml:space="preserve">maize and </w:t>
      </w:r>
      <w:r w:rsidR="00CE2927">
        <w:rPr>
          <w:rFonts w:ascii="Times New Roman" w:hAnsi="Times New Roman"/>
          <w:sz w:val="20"/>
          <w:szCs w:val="20"/>
          <w:lang w:val="en-US"/>
        </w:rPr>
        <w:t>cowpea</w:t>
      </w:r>
      <w:r w:rsidR="00DE5D25" w:rsidRPr="00DE5D25">
        <w:rPr>
          <w:rFonts w:ascii="Times New Roman" w:hAnsi="Times New Roman"/>
          <w:sz w:val="20"/>
          <w:szCs w:val="20"/>
          <w:lang w:val="en-US"/>
        </w:rPr>
        <w:t xml:space="preserve"> produced in the state of </w:t>
      </w:r>
      <w:proofErr w:type="spellStart"/>
      <w:r w:rsidR="00DE5D25" w:rsidRPr="00DE5D25">
        <w:rPr>
          <w:rFonts w:ascii="Times New Roman" w:hAnsi="Times New Roman"/>
          <w:sz w:val="20"/>
          <w:szCs w:val="20"/>
          <w:lang w:val="en-US"/>
        </w:rPr>
        <w:t>Ceará</w:t>
      </w:r>
      <w:proofErr w:type="spellEnd"/>
      <w:r w:rsidR="00DE5D25" w:rsidRPr="00DE5D25">
        <w:rPr>
          <w:rFonts w:ascii="Times New Roman" w:hAnsi="Times New Roman"/>
          <w:sz w:val="20"/>
          <w:szCs w:val="20"/>
          <w:lang w:val="en-US"/>
        </w:rPr>
        <w:t xml:space="preserve">. </w:t>
      </w:r>
      <w:proofErr w:type="gramStart"/>
      <w:r w:rsidR="00DE5D25" w:rsidRPr="00DE5D25">
        <w:rPr>
          <w:rFonts w:ascii="Times New Roman" w:hAnsi="Times New Roman"/>
          <w:sz w:val="20"/>
          <w:szCs w:val="20"/>
          <w:lang w:val="en-US"/>
        </w:rPr>
        <w:t>Analyzed the period from January 2005 to December 2014</w:t>
      </w:r>
      <w:r w:rsidR="00CE2927">
        <w:rPr>
          <w:rFonts w:ascii="Times New Roman" w:hAnsi="Times New Roman"/>
          <w:sz w:val="20"/>
          <w:szCs w:val="20"/>
          <w:lang w:val="en-US"/>
        </w:rPr>
        <w:t>.</w:t>
      </w:r>
      <w:proofErr w:type="gramEnd"/>
      <w:r w:rsidR="00DE5D25" w:rsidRPr="00DE5D25">
        <w:rPr>
          <w:rFonts w:ascii="Times New Roman" w:hAnsi="Times New Roman"/>
          <w:sz w:val="20"/>
          <w:szCs w:val="20"/>
          <w:lang w:val="en-US"/>
        </w:rPr>
        <w:t xml:space="preserve"> The determination of seasonal price indices for the realization of seasonality analysis was performed using the method of mobile arithmetic mean centered in 12 months. </w:t>
      </w:r>
      <w:proofErr w:type="gramStart"/>
      <w:r w:rsidR="00DE5D25" w:rsidRPr="00DE5D25">
        <w:rPr>
          <w:rFonts w:ascii="Times New Roman" w:hAnsi="Times New Roman"/>
          <w:sz w:val="20"/>
          <w:szCs w:val="20"/>
          <w:lang w:val="en-US"/>
        </w:rPr>
        <w:t>After obtaining the time series of prices proceeded to the deflation of the same, making use of the IGP-DI, supplied by FGV.</w:t>
      </w:r>
      <w:proofErr w:type="gramEnd"/>
      <w:r w:rsidR="00DE5D25" w:rsidRPr="00DE5D25">
        <w:rPr>
          <w:rFonts w:ascii="Times New Roman" w:hAnsi="Times New Roman"/>
          <w:sz w:val="20"/>
          <w:szCs w:val="20"/>
          <w:lang w:val="en-US"/>
        </w:rPr>
        <w:t xml:space="preserve"> The index was used with the base in December 2014. With the number of deflated prices calculated the moving average for each month from July 2005 until June 2014. With certain averages calculated the IEP (seasonal price index). The corn and beans have distinct seasonal </w:t>
      </w:r>
      <w:proofErr w:type="gramStart"/>
      <w:r w:rsidR="00DE5D25" w:rsidRPr="00DE5D25">
        <w:rPr>
          <w:rFonts w:ascii="Times New Roman" w:hAnsi="Times New Roman"/>
          <w:sz w:val="20"/>
          <w:szCs w:val="20"/>
          <w:lang w:val="en-US"/>
        </w:rPr>
        <w:t>patterns,</w:t>
      </w:r>
      <w:proofErr w:type="gramEnd"/>
      <w:r w:rsidR="00DE5D25" w:rsidRPr="00DE5D25">
        <w:rPr>
          <w:rFonts w:ascii="Times New Roman" w:hAnsi="Times New Roman"/>
          <w:sz w:val="20"/>
          <w:szCs w:val="20"/>
          <w:lang w:val="en-US"/>
        </w:rPr>
        <w:t xml:space="preserve"> this characteristic may be the basis for the planning of producers.</w:t>
      </w:r>
    </w:p>
    <w:p w:rsidR="00FE43B7" w:rsidRPr="00DE5D25" w:rsidRDefault="00FE43B7" w:rsidP="00FE43B7">
      <w:pPr>
        <w:autoSpaceDE w:val="0"/>
        <w:autoSpaceDN w:val="0"/>
        <w:adjustRightInd w:val="0"/>
        <w:spacing w:after="0" w:line="240" w:lineRule="auto"/>
        <w:jc w:val="both"/>
        <w:rPr>
          <w:rFonts w:ascii="Times New Roman" w:hAnsi="Times New Roman"/>
          <w:b/>
          <w:sz w:val="20"/>
          <w:szCs w:val="20"/>
          <w:lang w:val="en-US" w:eastAsia="pt-BR"/>
        </w:rPr>
      </w:pPr>
    </w:p>
    <w:p w:rsidR="00A240DA" w:rsidRPr="00A240DA" w:rsidRDefault="00FE43B7" w:rsidP="00A240DA">
      <w:pPr>
        <w:pStyle w:val="Pr-formataoHTML"/>
        <w:shd w:val="clear" w:color="auto" w:fill="FFFFFF"/>
        <w:rPr>
          <w:rFonts w:ascii="inherit" w:hAnsi="inherit"/>
          <w:color w:val="212121"/>
          <w:lang w:val="en-US"/>
        </w:rPr>
      </w:pPr>
      <w:r w:rsidRPr="00FF7198">
        <w:rPr>
          <w:rFonts w:ascii="Times New Roman" w:hAnsi="Times New Roman"/>
          <w:b/>
          <w:lang w:val="en-US"/>
        </w:rPr>
        <w:t xml:space="preserve">Key words: </w:t>
      </w:r>
      <w:r w:rsidR="00CC79EC" w:rsidRPr="00FF7198">
        <w:rPr>
          <w:rFonts w:ascii="Times New Roman" w:hAnsi="Times New Roman"/>
          <w:iCs/>
          <w:color w:val="000000"/>
          <w:shd w:val="clear" w:color="auto" w:fill="FFFFFF"/>
          <w:lang w:val="en-US"/>
        </w:rPr>
        <w:t>s</w:t>
      </w:r>
      <w:r w:rsidR="00A240DA">
        <w:rPr>
          <w:rFonts w:ascii="Times New Roman" w:hAnsi="Times New Roman"/>
          <w:iCs/>
          <w:color w:val="000000"/>
          <w:shd w:val="clear" w:color="auto" w:fill="FFFFFF"/>
          <w:lang w:val="en-US"/>
        </w:rPr>
        <w:t xml:space="preserve">easonality, deflation, planning, </w:t>
      </w:r>
      <w:r w:rsidR="00A240DA" w:rsidRPr="00A240DA">
        <w:rPr>
          <w:rFonts w:ascii="inherit" w:hAnsi="inherit"/>
          <w:color w:val="212121"/>
          <w:lang w:val="en-US"/>
        </w:rPr>
        <w:t>semiarid</w:t>
      </w:r>
      <w:r w:rsidR="00A240DA">
        <w:rPr>
          <w:rFonts w:ascii="inherit" w:hAnsi="inherit"/>
          <w:color w:val="212121"/>
          <w:lang w:val="en-US"/>
        </w:rPr>
        <w:t>.</w:t>
      </w:r>
    </w:p>
    <w:p w:rsidR="00A240DA" w:rsidRPr="00FF7198" w:rsidRDefault="00A240DA" w:rsidP="006D59F8">
      <w:pPr>
        <w:spacing w:after="0" w:line="240" w:lineRule="auto"/>
        <w:rPr>
          <w:rFonts w:ascii="Times New Roman" w:hAnsi="Times New Roman" w:cs="Times New Roman"/>
          <w:sz w:val="18"/>
          <w:szCs w:val="18"/>
          <w:shd w:val="clear" w:color="auto" w:fill="FFFFFF"/>
          <w:lang w:val="en-US"/>
        </w:rPr>
      </w:pPr>
    </w:p>
    <w:p w:rsidR="002D3697" w:rsidRPr="00186CF6" w:rsidRDefault="002D3697" w:rsidP="00186CF6">
      <w:pPr>
        <w:rPr>
          <w:rFonts w:ascii="Times New Roman" w:hAnsi="Times New Roman"/>
          <w:sz w:val="20"/>
          <w:szCs w:val="20"/>
          <w:lang w:val="en-US" w:eastAsia="pt-BR"/>
        </w:rPr>
        <w:sectPr w:rsidR="002D3697" w:rsidRPr="00186CF6" w:rsidSect="00D56962">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851" w:header="714" w:footer="709" w:gutter="0"/>
          <w:cols w:space="708"/>
          <w:titlePg/>
          <w:docGrid w:linePitch="360"/>
        </w:sectPr>
      </w:pPr>
    </w:p>
    <w:p w:rsidR="00D82B41" w:rsidRPr="00E94800" w:rsidRDefault="00D82B41" w:rsidP="00F91DC8">
      <w:pPr>
        <w:spacing w:after="0" w:line="240" w:lineRule="auto"/>
        <w:rPr>
          <w:rFonts w:ascii="Times New Roman" w:hAnsi="Times New Roman"/>
          <w:b/>
          <w:sz w:val="20"/>
          <w:szCs w:val="28"/>
        </w:rPr>
      </w:pPr>
      <w:r w:rsidRPr="00E94800">
        <w:rPr>
          <w:rFonts w:ascii="Times New Roman" w:hAnsi="Times New Roman"/>
          <w:b/>
          <w:sz w:val="20"/>
          <w:szCs w:val="28"/>
        </w:rPr>
        <w:lastRenderedPageBreak/>
        <w:t>INTRODUÇÃO</w:t>
      </w:r>
    </w:p>
    <w:p w:rsidR="00D82B41" w:rsidRPr="00D82B41" w:rsidRDefault="00D82B41" w:rsidP="00F91DC8">
      <w:pPr>
        <w:spacing w:after="0" w:line="240" w:lineRule="auto"/>
        <w:ind w:firstLine="425"/>
        <w:jc w:val="both"/>
        <w:rPr>
          <w:rFonts w:ascii="Times New Roman" w:hAnsi="Times New Roman"/>
          <w:b/>
          <w:sz w:val="20"/>
          <w:szCs w:val="20"/>
        </w:rPr>
      </w:pPr>
    </w:p>
    <w:p w:rsidR="00EC1B07" w:rsidRPr="00EC1B07" w:rsidRDefault="00EC1B07" w:rsidP="00EC1B07">
      <w:pPr>
        <w:pStyle w:val="CorpodoresumoIVCBM"/>
        <w:spacing w:after="0" w:line="240" w:lineRule="auto"/>
        <w:ind w:firstLine="425"/>
        <w:rPr>
          <w:rFonts w:ascii="Times New Roman" w:hAnsi="Times New Roman"/>
          <w:sz w:val="20"/>
          <w:szCs w:val="20"/>
        </w:rPr>
      </w:pPr>
      <w:r w:rsidRPr="00EC1B07">
        <w:rPr>
          <w:rFonts w:ascii="Times New Roman" w:hAnsi="Times New Roman"/>
          <w:sz w:val="20"/>
          <w:szCs w:val="20"/>
        </w:rPr>
        <w:t xml:space="preserve">O setor agropecuário apresenta-se como uma atividade complexa e vulnerável a diversos fatores de riscos. Fatores climáticos, intensidade do papel intervencionista do estado, oscilações macroeconômicas, entre outros, representam algumas causas de riscos associadas a esse segmento da economia. E dentro desta série de fatores, encontram-se os produtores, as indústrias, os atacadistas, os varejistas e os consumidores finais na condição de demandante de tais produtos (HARZER </w:t>
      </w:r>
      <w:proofErr w:type="gramStart"/>
      <w:r w:rsidRPr="00EC1B07">
        <w:rPr>
          <w:rFonts w:ascii="Times New Roman" w:hAnsi="Times New Roman"/>
          <w:sz w:val="20"/>
          <w:szCs w:val="20"/>
        </w:rPr>
        <w:t>et</w:t>
      </w:r>
      <w:proofErr w:type="gramEnd"/>
      <w:r w:rsidRPr="00EC1B07">
        <w:rPr>
          <w:rFonts w:ascii="Times New Roman" w:hAnsi="Times New Roman"/>
          <w:sz w:val="20"/>
          <w:szCs w:val="20"/>
        </w:rPr>
        <w:t xml:space="preserve"> al. 2012).</w:t>
      </w:r>
    </w:p>
    <w:p w:rsidR="00EC1B07" w:rsidRPr="00EC1B07" w:rsidRDefault="00EC1B07" w:rsidP="00EC1B07">
      <w:pPr>
        <w:pStyle w:val="CorpodoresumoIVCBM"/>
        <w:spacing w:after="0" w:line="240" w:lineRule="auto"/>
        <w:ind w:firstLine="425"/>
        <w:rPr>
          <w:rFonts w:ascii="Times New Roman" w:hAnsi="Times New Roman"/>
          <w:sz w:val="20"/>
          <w:szCs w:val="20"/>
        </w:rPr>
      </w:pPr>
      <w:r w:rsidRPr="00EC1B07">
        <w:rPr>
          <w:rFonts w:ascii="Times New Roman" w:hAnsi="Times New Roman"/>
          <w:sz w:val="20"/>
          <w:szCs w:val="20"/>
        </w:rPr>
        <w:t>Na região Nordeste do Brasil, a agricultura de subsistência (geralmente milho e feijão) é a atividade econômica mais importante, de uma forma geral, e a disponibilidade de água é o principal obstáculo para a produção agrícola. Esta região inclui uma grande variedade de sistemas agrícolas, resultantes de diferentes solos, topografias e padrões de chuva, o que vem contribuir para com os fatores de risco intrínsecos ao setor (ANTONINO, 2000).</w:t>
      </w:r>
    </w:p>
    <w:p w:rsidR="00EC1B07" w:rsidRPr="00EC1B07" w:rsidRDefault="00EC1B07" w:rsidP="00EC1B07">
      <w:pPr>
        <w:pStyle w:val="CorpodoresumoIVCBM"/>
        <w:spacing w:after="0" w:line="240" w:lineRule="auto"/>
        <w:ind w:firstLine="425"/>
        <w:rPr>
          <w:rFonts w:ascii="Times New Roman" w:hAnsi="Times New Roman"/>
          <w:sz w:val="20"/>
          <w:szCs w:val="20"/>
        </w:rPr>
      </w:pPr>
      <w:r w:rsidRPr="00EC1B07">
        <w:rPr>
          <w:rFonts w:ascii="Times New Roman" w:hAnsi="Times New Roman"/>
          <w:sz w:val="20"/>
          <w:szCs w:val="20"/>
        </w:rPr>
        <w:lastRenderedPageBreak/>
        <w:t xml:space="preserve">O feijão </w:t>
      </w:r>
      <w:proofErr w:type="spellStart"/>
      <w:r w:rsidRPr="00EC1B07">
        <w:rPr>
          <w:rFonts w:ascii="Times New Roman" w:hAnsi="Times New Roman"/>
          <w:sz w:val="20"/>
          <w:szCs w:val="20"/>
        </w:rPr>
        <w:t>caupi</w:t>
      </w:r>
      <w:proofErr w:type="spellEnd"/>
      <w:r w:rsidRPr="00EC1B07">
        <w:rPr>
          <w:rFonts w:ascii="Times New Roman" w:hAnsi="Times New Roman"/>
          <w:sz w:val="20"/>
          <w:szCs w:val="20"/>
        </w:rPr>
        <w:t xml:space="preserve"> trata-se de um dos mais importantes produtos agrícolas produzidos no Brasil, importante tanto culturalmente no prato brasileiro quanto pelo fato de tratar-se de um alimento rico em nutrientes como proteínas, minerais, fibras, dentre outras (EMBRAPA, 2011), sendo a principal cultura de subsistência das regiões Norte e Nordeste do Brasil (BEZERRA, 2010).</w:t>
      </w:r>
    </w:p>
    <w:p w:rsidR="00EC1B07" w:rsidRPr="00EC1B07" w:rsidRDefault="00EC1B07" w:rsidP="00EC1B07">
      <w:pPr>
        <w:pStyle w:val="CorpodoresumoIVCBM"/>
        <w:spacing w:after="0" w:line="240" w:lineRule="auto"/>
        <w:ind w:firstLine="425"/>
        <w:rPr>
          <w:rFonts w:ascii="Times New Roman" w:hAnsi="Times New Roman"/>
          <w:sz w:val="20"/>
          <w:szCs w:val="20"/>
        </w:rPr>
      </w:pPr>
      <w:r w:rsidRPr="00EC1B07">
        <w:rPr>
          <w:rFonts w:ascii="Times New Roman" w:hAnsi="Times New Roman"/>
          <w:sz w:val="20"/>
          <w:szCs w:val="20"/>
        </w:rPr>
        <w:t xml:space="preserve">A produtividade média do feijão </w:t>
      </w:r>
      <w:proofErr w:type="spellStart"/>
      <w:r w:rsidRPr="00EC1B07">
        <w:rPr>
          <w:rFonts w:ascii="Times New Roman" w:hAnsi="Times New Roman"/>
          <w:sz w:val="20"/>
          <w:szCs w:val="20"/>
        </w:rPr>
        <w:t>caupi</w:t>
      </w:r>
      <w:proofErr w:type="spellEnd"/>
      <w:r w:rsidRPr="00EC1B07">
        <w:rPr>
          <w:rFonts w:ascii="Times New Roman" w:hAnsi="Times New Roman"/>
          <w:sz w:val="20"/>
          <w:szCs w:val="20"/>
        </w:rPr>
        <w:t xml:space="preserve"> foi de 330.216 toneladas, concentradas nas regiões Nordeste, Norte e Centro-oeste (com destaque para o estado do Mato Grosso), no ano de 2012, segundo dados da Embrapa Arroz e Feijão (2012), com destaque para região Nordeste do país, por se tratar de uma cultura adaptada às irregularidades das chuvas e às altas temperaturas da região. Entre os destaques de produção na região, estão os estados do Ceará, Maranhão, Bahia e Piauí, com uma produção de 51.303, 34.837, 27.891 e 26.520 toneladas, respectivamente (EMBRAPA ARROZ E FEIJÃO, 2012).</w:t>
      </w:r>
    </w:p>
    <w:p w:rsidR="00EC1B07" w:rsidRPr="00EC1B07" w:rsidRDefault="00EC1B07" w:rsidP="00EC1B07">
      <w:pPr>
        <w:pStyle w:val="CorpodoresumoIVCBM"/>
        <w:spacing w:after="0" w:line="240" w:lineRule="auto"/>
        <w:ind w:firstLine="425"/>
        <w:rPr>
          <w:rFonts w:ascii="Times New Roman" w:hAnsi="Times New Roman"/>
          <w:sz w:val="20"/>
          <w:szCs w:val="20"/>
        </w:rPr>
      </w:pPr>
      <w:r w:rsidRPr="00EC1B07">
        <w:rPr>
          <w:rFonts w:ascii="Times New Roman" w:hAnsi="Times New Roman"/>
          <w:sz w:val="20"/>
          <w:szCs w:val="20"/>
        </w:rPr>
        <w:t xml:space="preserve">Outra cultura de grande importância é o milho. No Brasil, juntamente com a soja, contribui com cerca de 80% da produção de grãos (EMBRAPA, 2011).  No Ceará, a </w:t>
      </w:r>
      <w:r w:rsidRPr="00EC1B07">
        <w:rPr>
          <w:rFonts w:ascii="Times New Roman" w:hAnsi="Times New Roman"/>
          <w:sz w:val="20"/>
          <w:szCs w:val="20"/>
        </w:rPr>
        <w:lastRenderedPageBreak/>
        <w:t>expansão do cultivo de milho deve-se ao aumento da demanda por este produto, que foi impulsionada pelo crescimento da produção de aves no estado e no vizinho Pernambuco (EMBRAPA, 2011).</w:t>
      </w:r>
    </w:p>
    <w:p w:rsidR="00EC1B07" w:rsidRPr="00EC1B07" w:rsidRDefault="00EC1B07" w:rsidP="00EC1B07">
      <w:pPr>
        <w:pStyle w:val="CorpodoresumoIVCBM"/>
        <w:spacing w:after="0" w:line="240" w:lineRule="auto"/>
        <w:ind w:firstLine="425"/>
        <w:rPr>
          <w:rFonts w:ascii="Times New Roman" w:hAnsi="Times New Roman"/>
          <w:sz w:val="20"/>
          <w:szCs w:val="20"/>
        </w:rPr>
      </w:pPr>
      <w:r w:rsidRPr="00EC1B07">
        <w:rPr>
          <w:rFonts w:ascii="Times New Roman" w:hAnsi="Times New Roman"/>
          <w:sz w:val="20"/>
          <w:szCs w:val="20"/>
        </w:rPr>
        <w:t>Segundo a CONAB (2015), a área cultivada com milho na safra 2013/2014 no Ceará, foi de 480.000 hectares, com uma produtividade de 835 kg/ha e uma produção total de 401.300 toneladas.</w:t>
      </w:r>
    </w:p>
    <w:p w:rsidR="00EC1B07" w:rsidRPr="00EC1B07" w:rsidRDefault="00EC1B07" w:rsidP="00EC1B07">
      <w:pPr>
        <w:pStyle w:val="CorpodoresumoIVCBM"/>
        <w:spacing w:after="0" w:line="240" w:lineRule="auto"/>
        <w:ind w:firstLine="425"/>
        <w:rPr>
          <w:rFonts w:ascii="Times New Roman" w:hAnsi="Times New Roman"/>
          <w:sz w:val="20"/>
          <w:szCs w:val="20"/>
        </w:rPr>
      </w:pPr>
      <w:r w:rsidRPr="00EC1B07">
        <w:rPr>
          <w:rFonts w:ascii="Times New Roman" w:hAnsi="Times New Roman"/>
          <w:sz w:val="20"/>
          <w:szCs w:val="20"/>
        </w:rPr>
        <w:t>Tais culturas estão sujeitas a uma alta volatilidade de preços, como afirma Aguiar (2011), este autor afirma que o mercado do feijão-</w:t>
      </w:r>
      <w:proofErr w:type="spellStart"/>
      <w:r w:rsidRPr="00EC1B07">
        <w:rPr>
          <w:rFonts w:ascii="Times New Roman" w:hAnsi="Times New Roman"/>
          <w:sz w:val="20"/>
          <w:szCs w:val="20"/>
        </w:rPr>
        <w:t>caupi</w:t>
      </w:r>
      <w:proofErr w:type="spellEnd"/>
      <w:r w:rsidRPr="00EC1B07">
        <w:rPr>
          <w:rFonts w:ascii="Times New Roman" w:hAnsi="Times New Roman"/>
          <w:sz w:val="20"/>
          <w:szCs w:val="20"/>
        </w:rPr>
        <w:t xml:space="preserve"> caracteriza-se pela alta volatilidade de preços, no qual a oferta é extremamente </w:t>
      </w:r>
      <w:proofErr w:type="gramStart"/>
      <w:r w:rsidRPr="00EC1B07">
        <w:rPr>
          <w:rFonts w:ascii="Times New Roman" w:hAnsi="Times New Roman"/>
          <w:sz w:val="20"/>
          <w:szCs w:val="20"/>
        </w:rPr>
        <w:t>sujeita</w:t>
      </w:r>
      <w:proofErr w:type="gramEnd"/>
      <w:r w:rsidRPr="00EC1B07">
        <w:rPr>
          <w:rFonts w:ascii="Times New Roman" w:hAnsi="Times New Roman"/>
          <w:sz w:val="20"/>
          <w:szCs w:val="20"/>
        </w:rPr>
        <w:t xml:space="preserve"> a variações, determinadas pelas condições climáticas, sendo a cultura do milho também sujeita a estes efeitos.</w:t>
      </w:r>
    </w:p>
    <w:p w:rsidR="00EC1B07" w:rsidRPr="00EC1B07" w:rsidRDefault="00EC1B07" w:rsidP="00EC1B07">
      <w:pPr>
        <w:pStyle w:val="CorpodoresumoIVCBM"/>
        <w:spacing w:after="0" w:line="240" w:lineRule="auto"/>
        <w:ind w:firstLine="425"/>
        <w:rPr>
          <w:rFonts w:ascii="Times New Roman" w:hAnsi="Times New Roman"/>
          <w:sz w:val="20"/>
          <w:szCs w:val="20"/>
        </w:rPr>
      </w:pPr>
      <w:r w:rsidRPr="00EC1B07">
        <w:rPr>
          <w:rFonts w:ascii="Times New Roman" w:hAnsi="Times New Roman"/>
          <w:sz w:val="20"/>
          <w:szCs w:val="20"/>
        </w:rPr>
        <w:t xml:space="preserve">Deste modo, o estudo do comportamento dos preços dessas culturas torna-se importante ferramenta de tomada de decisão por parte de produtores. Segundo (GONTIJO </w:t>
      </w:r>
      <w:proofErr w:type="gramStart"/>
      <w:r w:rsidRPr="00EC1B07">
        <w:rPr>
          <w:rFonts w:ascii="Times New Roman" w:hAnsi="Times New Roman"/>
          <w:sz w:val="20"/>
          <w:szCs w:val="20"/>
        </w:rPr>
        <w:t>et</w:t>
      </w:r>
      <w:proofErr w:type="gramEnd"/>
      <w:r w:rsidRPr="00EC1B07">
        <w:rPr>
          <w:rFonts w:ascii="Times New Roman" w:hAnsi="Times New Roman"/>
          <w:sz w:val="20"/>
          <w:szCs w:val="20"/>
        </w:rPr>
        <w:t xml:space="preserve"> al., 2011) , esta ferramenta se torna importante pelo fato da renda dos produtores rurais serem vulneráveis as oscilações cíclicas de preços ao nível de consumo da população urbana. </w:t>
      </w:r>
    </w:p>
    <w:p w:rsidR="00EC1B07" w:rsidRPr="00EC1B07" w:rsidRDefault="00EC1B07" w:rsidP="00EC1B07">
      <w:pPr>
        <w:pStyle w:val="CorpodoresumoIVCBM"/>
        <w:spacing w:after="0" w:line="240" w:lineRule="auto"/>
        <w:ind w:firstLine="425"/>
        <w:rPr>
          <w:rFonts w:ascii="Times New Roman" w:hAnsi="Times New Roman"/>
          <w:sz w:val="20"/>
          <w:szCs w:val="20"/>
        </w:rPr>
      </w:pPr>
      <w:r w:rsidRPr="00EC1B07">
        <w:rPr>
          <w:rFonts w:ascii="Times New Roman" w:hAnsi="Times New Roman"/>
          <w:sz w:val="20"/>
          <w:szCs w:val="20"/>
        </w:rPr>
        <w:t xml:space="preserve">Assim, aproveitando o conhecimento comportamental das variáveis de mercado, pode-se orientar as organizações nas definições das estratégias de venda e, por consequência, melhoria competitiva, como cita Viana </w:t>
      </w:r>
      <w:proofErr w:type="gramStart"/>
      <w:r w:rsidRPr="00EC1B07">
        <w:rPr>
          <w:rFonts w:ascii="Times New Roman" w:hAnsi="Times New Roman"/>
          <w:sz w:val="20"/>
          <w:szCs w:val="20"/>
        </w:rPr>
        <w:t>et</w:t>
      </w:r>
      <w:proofErr w:type="gramEnd"/>
      <w:r w:rsidRPr="00EC1B07">
        <w:rPr>
          <w:rFonts w:ascii="Times New Roman" w:hAnsi="Times New Roman"/>
          <w:sz w:val="20"/>
          <w:szCs w:val="20"/>
        </w:rPr>
        <w:t xml:space="preserve"> al. (2010) e Cardoso et al. (2013).</w:t>
      </w:r>
    </w:p>
    <w:p w:rsidR="00EC1B07" w:rsidRPr="00EC1B07" w:rsidRDefault="00EC1B07" w:rsidP="00EC1B07">
      <w:pPr>
        <w:pStyle w:val="CorpodoresumoIVCBM"/>
        <w:spacing w:after="0" w:line="240" w:lineRule="auto"/>
        <w:ind w:firstLine="425"/>
        <w:rPr>
          <w:rFonts w:ascii="Times New Roman" w:hAnsi="Times New Roman"/>
          <w:sz w:val="20"/>
          <w:szCs w:val="20"/>
        </w:rPr>
      </w:pPr>
      <w:r w:rsidRPr="00EC1B07">
        <w:rPr>
          <w:rFonts w:ascii="Times New Roman" w:hAnsi="Times New Roman"/>
          <w:sz w:val="20"/>
          <w:szCs w:val="20"/>
        </w:rPr>
        <w:t xml:space="preserve">Segundo </w:t>
      </w:r>
      <w:proofErr w:type="spellStart"/>
      <w:r w:rsidRPr="00EC1B07">
        <w:rPr>
          <w:rFonts w:ascii="Times New Roman" w:hAnsi="Times New Roman"/>
          <w:sz w:val="20"/>
          <w:szCs w:val="20"/>
        </w:rPr>
        <w:t>Djau</w:t>
      </w:r>
      <w:proofErr w:type="spellEnd"/>
      <w:r w:rsidRPr="00EC1B07">
        <w:rPr>
          <w:rFonts w:ascii="Times New Roman" w:hAnsi="Times New Roman"/>
          <w:sz w:val="20"/>
          <w:szCs w:val="20"/>
        </w:rPr>
        <w:t xml:space="preserve"> </w:t>
      </w:r>
      <w:proofErr w:type="gramStart"/>
      <w:r w:rsidRPr="00EC1B07">
        <w:rPr>
          <w:rFonts w:ascii="Times New Roman" w:hAnsi="Times New Roman"/>
          <w:sz w:val="20"/>
          <w:szCs w:val="20"/>
        </w:rPr>
        <w:t>et</w:t>
      </w:r>
      <w:proofErr w:type="gramEnd"/>
      <w:r w:rsidRPr="00EC1B07">
        <w:rPr>
          <w:rFonts w:ascii="Times New Roman" w:hAnsi="Times New Roman"/>
          <w:sz w:val="20"/>
          <w:szCs w:val="20"/>
        </w:rPr>
        <w:t xml:space="preserve"> al. (2014), no caso da agricultura cearense, a preocupação com a instabilidade dos preços torna-se ainda mais relevante em decorrência das variações climáticas que afetam a oferta dos produtos. Nesse cenário, conhecer o comportamento dos preços dos produtos comercializados significa aumentar as chances de maiores receitas, pois possibilita ao produtor escolher períodos de alta de preços para vender seu produto. </w:t>
      </w:r>
    </w:p>
    <w:p w:rsidR="00EC1B07" w:rsidRPr="00EC1B07" w:rsidRDefault="00EC1B07" w:rsidP="00EC1B07">
      <w:pPr>
        <w:pStyle w:val="CorpodoresumoIVCBM"/>
        <w:spacing w:after="0" w:line="240" w:lineRule="auto"/>
        <w:ind w:firstLine="425"/>
        <w:rPr>
          <w:rFonts w:ascii="Times New Roman" w:hAnsi="Times New Roman"/>
          <w:sz w:val="20"/>
          <w:szCs w:val="20"/>
        </w:rPr>
      </w:pPr>
      <w:r w:rsidRPr="00EC1B07">
        <w:rPr>
          <w:rFonts w:ascii="Times New Roman" w:hAnsi="Times New Roman"/>
          <w:sz w:val="20"/>
          <w:szCs w:val="20"/>
        </w:rPr>
        <w:t xml:space="preserve">No âmbito de análise de preços de produtos agrícolas a metodologia mais empregada é a análise de sazonalidade. Vários são os autores com trabalhos na área de sazonalidade de produtos agrícolas. Júnior (2014) estudou a sazonalidade de preços de feijões do grupo preto e cores no estado do Paraná. </w:t>
      </w:r>
      <w:proofErr w:type="spellStart"/>
      <w:r w:rsidRPr="00EC1B07">
        <w:rPr>
          <w:rFonts w:ascii="Times New Roman" w:hAnsi="Times New Roman"/>
          <w:sz w:val="20"/>
          <w:szCs w:val="20"/>
        </w:rPr>
        <w:t>Gallo</w:t>
      </w:r>
      <w:proofErr w:type="spellEnd"/>
      <w:r w:rsidRPr="00EC1B07">
        <w:rPr>
          <w:rFonts w:ascii="Times New Roman" w:hAnsi="Times New Roman"/>
          <w:sz w:val="20"/>
          <w:szCs w:val="20"/>
        </w:rPr>
        <w:t xml:space="preserve"> (2007) escreveu sobre sazonalidade de preços de tomate na CEASA da Grande Florianópolis, e outros que também escreveram sobre o assunto enriquecendo a literatura relacionada bem como o banco de dados sobre o assunto.</w:t>
      </w:r>
    </w:p>
    <w:p w:rsidR="006C6970" w:rsidRPr="00DB5205" w:rsidRDefault="00EC1B07" w:rsidP="00EC1B07">
      <w:pPr>
        <w:pStyle w:val="CorpodoresumoIVCBM"/>
        <w:spacing w:after="0" w:line="240" w:lineRule="auto"/>
        <w:ind w:firstLine="425"/>
        <w:rPr>
          <w:rFonts w:ascii="Times New Roman" w:hAnsi="Times New Roman"/>
          <w:sz w:val="20"/>
          <w:szCs w:val="20"/>
        </w:rPr>
      </w:pPr>
      <w:r w:rsidRPr="00EC1B07">
        <w:rPr>
          <w:rFonts w:ascii="Times New Roman" w:hAnsi="Times New Roman"/>
          <w:sz w:val="20"/>
          <w:szCs w:val="20"/>
        </w:rPr>
        <w:t>Dado este panorama, este trabalho teve como objetivo analisar a sazonalidade dos preços das principais culturas de subsistências (milho e feijão) produzidas no Estado do Ceará.</w:t>
      </w:r>
    </w:p>
    <w:p w:rsidR="00E24260" w:rsidRPr="006161B2" w:rsidRDefault="00E24260" w:rsidP="00F91DC8">
      <w:pPr>
        <w:spacing w:after="0" w:line="240" w:lineRule="auto"/>
        <w:ind w:firstLine="425"/>
        <w:jc w:val="both"/>
        <w:rPr>
          <w:rFonts w:ascii="Times New Roman" w:hAnsi="Times New Roman"/>
          <w:sz w:val="20"/>
          <w:szCs w:val="20"/>
        </w:rPr>
      </w:pPr>
    </w:p>
    <w:p w:rsidR="00D82B41" w:rsidRPr="00E94800" w:rsidRDefault="00D82B41" w:rsidP="00F91DC8">
      <w:pPr>
        <w:spacing w:after="0" w:line="240" w:lineRule="auto"/>
        <w:jc w:val="both"/>
        <w:rPr>
          <w:rFonts w:ascii="Times New Roman" w:hAnsi="Times New Roman"/>
          <w:b/>
          <w:sz w:val="20"/>
          <w:szCs w:val="28"/>
        </w:rPr>
      </w:pPr>
      <w:r w:rsidRPr="00E94800">
        <w:rPr>
          <w:rFonts w:ascii="Times New Roman" w:hAnsi="Times New Roman"/>
          <w:b/>
          <w:sz w:val="20"/>
          <w:szCs w:val="28"/>
        </w:rPr>
        <w:t>MATERIAL E MÉTODOS</w:t>
      </w:r>
    </w:p>
    <w:p w:rsidR="00D82B41" w:rsidRPr="006161B2" w:rsidRDefault="00D82B41" w:rsidP="00F91DC8">
      <w:pPr>
        <w:pStyle w:val="PargrafodaLista"/>
        <w:spacing w:after="0" w:line="240" w:lineRule="auto"/>
        <w:ind w:left="0" w:firstLine="425"/>
        <w:jc w:val="both"/>
        <w:rPr>
          <w:rFonts w:ascii="Times New Roman" w:hAnsi="Times New Roman"/>
          <w:b/>
          <w:sz w:val="20"/>
          <w:szCs w:val="20"/>
        </w:rPr>
      </w:pPr>
    </w:p>
    <w:p w:rsidR="00951671" w:rsidRPr="00596E68" w:rsidRDefault="00951671" w:rsidP="00951671">
      <w:pPr>
        <w:pStyle w:val="CorpodoresumoIVCBM"/>
        <w:spacing w:after="0" w:line="240" w:lineRule="auto"/>
        <w:ind w:firstLine="425"/>
        <w:rPr>
          <w:rFonts w:ascii="Times New Roman" w:hAnsi="Times New Roman"/>
          <w:b/>
          <w:sz w:val="20"/>
          <w:szCs w:val="20"/>
        </w:rPr>
      </w:pPr>
      <w:r w:rsidRPr="00596E68">
        <w:rPr>
          <w:rFonts w:ascii="Times New Roman" w:hAnsi="Times New Roman"/>
          <w:b/>
          <w:sz w:val="20"/>
          <w:szCs w:val="20"/>
        </w:rPr>
        <w:t>Base de dados secundários</w:t>
      </w:r>
    </w:p>
    <w:p w:rsidR="00951671" w:rsidRPr="00951671" w:rsidRDefault="00951671" w:rsidP="00951671">
      <w:pPr>
        <w:pStyle w:val="CorpodoresumoIVCBM"/>
        <w:spacing w:after="0" w:line="240" w:lineRule="auto"/>
        <w:ind w:firstLine="425"/>
        <w:rPr>
          <w:rFonts w:ascii="Times New Roman" w:hAnsi="Times New Roman"/>
          <w:sz w:val="20"/>
          <w:szCs w:val="20"/>
        </w:rPr>
      </w:pPr>
      <w:r w:rsidRPr="00951671">
        <w:rPr>
          <w:rFonts w:ascii="Times New Roman" w:hAnsi="Times New Roman"/>
          <w:sz w:val="20"/>
          <w:szCs w:val="20"/>
        </w:rPr>
        <w:t xml:space="preserve">O banco de dados secundários constituiu-se de históricos de preços extraídos do site oficial da Central de Abastecimento do Ceará (CEASA – CE). Foram extraídos históricos de preços das seguintes culturas: feijão de corda verde (kg); feijão de corda seco (saco de 60 kg); milho verde (cento); milho grão (saco de 60 kg). Foi analisado o período de janeiro de 2005 </w:t>
      </w:r>
      <w:proofErr w:type="gramStart"/>
      <w:r w:rsidRPr="00951671">
        <w:rPr>
          <w:rFonts w:ascii="Times New Roman" w:hAnsi="Times New Roman"/>
          <w:sz w:val="20"/>
          <w:szCs w:val="20"/>
        </w:rPr>
        <w:t>à</w:t>
      </w:r>
      <w:proofErr w:type="gramEnd"/>
      <w:r w:rsidRPr="00951671">
        <w:rPr>
          <w:rFonts w:ascii="Times New Roman" w:hAnsi="Times New Roman"/>
          <w:sz w:val="20"/>
          <w:szCs w:val="20"/>
        </w:rPr>
        <w:t xml:space="preserve"> dezembro de 2014.</w:t>
      </w:r>
    </w:p>
    <w:p w:rsidR="00951671" w:rsidRPr="00951671" w:rsidRDefault="00951671" w:rsidP="00951671">
      <w:pPr>
        <w:pStyle w:val="CorpodoresumoIVCBM"/>
        <w:spacing w:after="0" w:line="240" w:lineRule="auto"/>
        <w:ind w:firstLine="425"/>
        <w:rPr>
          <w:rFonts w:ascii="Times New Roman" w:hAnsi="Times New Roman"/>
          <w:sz w:val="20"/>
          <w:szCs w:val="20"/>
        </w:rPr>
      </w:pPr>
      <w:r w:rsidRPr="00951671">
        <w:rPr>
          <w:rFonts w:ascii="Times New Roman" w:hAnsi="Times New Roman"/>
          <w:sz w:val="20"/>
          <w:szCs w:val="20"/>
        </w:rPr>
        <w:t>As séries de preços constituídas pelos históricos de preços fornecidos pelo sistema de informação da CEASA – CE, foram deflacionados pelo Índice Geral de Preços – (Disponibilidade Interna) – (IGP – DI) calculados pela Fundação Getúlio Vargas (FGV), com a base de dezembro de 2014.</w:t>
      </w:r>
    </w:p>
    <w:p w:rsidR="00951671" w:rsidRPr="00596E68" w:rsidRDefault="00951671" w:rsidP="00951671">
      <w:pPr>
        <w:pStyle w:val="CorpodoresumoIVCBM"/>
        <w:spacing w:after="0" w:line="240" w:lineRule="auto"/>
        <w:ind w:firstLine="425"/>
        <w:rPr>
          <w:rFonts w:ascii="Times New Roman" w:hAnsi="Times New Roman"/>
          <w:b/>
          <w:sz w:val="20"/>
          <w:szCs w:val="20"/>
        </w:rPr>
      </w:pPr>
      <w:r w:rsidRPr="00596E68">
        <w:rPr>
          <w:rFonts w:ascii="Times New Roman" w:hAnsi="Times New Roman"/>
          <w:b/>
          <w:sz w:val="20"/>
          <w:szCs w:val="20"/>
        </w:rPr>
        <w:lastRenderedPageBreak/>
        <w:t>Análise de sazonalidade</w:t>
      </w:r>
    </w:p>
    <w:p w:rsidR="00951671" w:rsidRPr="00951671" w:rsidRDefault="00951671" w:rsidP="00596E68">
      <w:pPr>
        <w:pStyle w:val="CorpodoresumoIVCBM"/>
        <w:spacing w:after="0" w:line="240" w:lineRule="auto"/>
        <w:ind w:firstLine="425"/>
        <w:rPr>
          <w:rFonts w:ascii="Times New Roman" w:hAnsi="Times New Roman"/>
          <w:sz w:val="20"/>
          <w:szCs w:val="20"/>
        </w:rPr>
      </w:pPr>
      <w:r w:rsidRPr="00951671">
        <w:rPr>
          <w:rFonts w:ascii="Times New Roman" w:hAnsi="Times New Roman"/>
          <w:sz w:val="20"/>
          <w:szCs w:val="20"/>
        </w:rPr>
        <w:t>A determinação dos índices estacionais de preços para a realização da análise de sazonalidade foi realizada através do método da média aritmética móvel centrada em 12 meses, exemplos da aplicação deste método podem ser encontrados em Santana (2003) e Mendes (2007).</w:t>
      </w:r>
    </w:p>
    <w:p w:rsidR="00951671" w:rsidRDefault="00951671" w:rsidP="00951671">
      <w:pPr>
        <w:pStyle w:val="CorpodoresumoIVCBM"/>
        <w:spacing w:after="0" w:line="240" w:lineRule="auto"/>
        <w:ind w:firstLine="425"/>
        <w:rPr>
          <w:rFonts w:ascii="Times New Roman" w:hAnsi="Times New Roman"/>
          <w:sz w:val="20"/>
          <w:szCs w:val="20"/>
        </w:rPr>
      </w:pPr>
      <w:r w:rsidRPr="00951671">
        <w:rPr>
          <w:rFonts w:ascii="Times New Roman" w:hAnsi="Times New Roman"/>
          <w:sz w:val="20"/>
          <w:szCs w:val="20"/>
        </w:rPr>
        <w:t>Após a obtenção da série histórica de preços procedeu-se à deflação dos mesmos, utilizando para isso o IGP-DI, fornecido pela FGV. O índice foi utilizado com a base em dezembro de 2014. Com a série de preços deflacionados calculou-se a média móvel centrada para cada mês a partir de julho de 2005 até o mês de junho de 2014. Com as médias determinadas calculou-se o IEP (índice estacional de preço) através da seguinte fórmula:</w:t>
      </w:r>
    </w:p>
    <w:p w:rsidR="00951671" w:rsidRPr="00951671" w:rsidRDefault="00951671" w:rsidP="00951671">
      <w:pPr>
        <w:pStyle w:val="CorpodoresumoIVCBM"/>
        <w:spacing w:after="0" w:line="240" w:lineRule="auto"/>
        <w:ind w:firstLine="425"/>
        <w:rPr>
          <w:rFonts w:ascii="Times New Roman" w:hAnsi="Times New Roman"/>
          <w:sz w:val="20"/>
          <w:szCs w:val="20"/>
        </w:rPr>
      </w:pPr>
    </w:p>
    <w:p w:rsidR="00951671" w:rsidRPr="00951671" w:rsidRDefault="00951671" w:rsidP="00951671">
      <w:pPr>
        <w:pStyle w:val="CorpodoresumoIVCBM"/>
        <w:spacing w:after="0" w:line="240" w:lineRule="auto"/>
        <w:ind w:firstLine="425"/>
        <w:rPr>
          <w:rFonts w:ascii="Times New Roman" w:hAnsi="Times New Roman"/>
          <w:sz w:val="20"/>
          <w:szCs w:val="20"/>
        </w:rPr>
      </w:pPr>
      <w:r>
        <w:rPr>
          <w:rFonts w:ascii="Times New Roman" w:hAnsi="Times New Roman"/>
          <w:sz w:val="20"/>
          <w:szCs w:val="20"/>
        </w:rPr>
        <w:t>IEP=</w:t>
      </w:r>
      <w:proofErr w:type="gramStart"/>
      <w:r>
        <w:rPr>
          <w:rFonts w:ascii="Times New Roman" w:hAnsi="Times New Roman"/>
          <w:sz w:val="20"/>
          <w:szCs w:val="20"/>
        </w:rPr>
        <w:t>(</w:t>
      </w:r>
      <w:proofErr w:type="gramEnd"/>
      <w:r>
        <w:rPr>
          <w:rFonts w:ascii="Times New Roman" w:hAnsi="Times New Roman"/>
          <w:sz w:val="20"/>
          <w:szCs w:val="20"/>
        </w:rPr>
        <w:t>P/MMC)*</w:t>
      </w:r>
      <w:r w:rsidRPr="00951671">
        <w:rPr>
          <w:rFonts w:ascii="Times New Roman" w:hAnsi="Times New Roman"/>
          <w:sz w:val="20"/>
          <w:szCs w:val="20"/>
        </w:rPr>
        <w:t xml:space="preserve">100  </w:t>
      </w:r>
      <w:r>
        <w:rPr>
          <w:rFonts w:ascii="Times New Roman" w:hAnsi="Times New Roman"/>
          <w:sz w:val="20"/>
          <w:szCs w:val="20"/>
        </w:rPr>
        <w:t xml:space="preserve">                                                    </w:t>
      </w:r>
      <w:r w:rsidRPr="00951671">
        <w:rPr>
          <w:rFonts w:ascii="Times New Roman" w:hAnsi="Times New Roman"/>
          <w:sz w:val="20"/>
          <w:szCs w:val="20"/>
        </w:rPr>
        <w:t xml:space="preserve">(1)                                                                                   </w:t>
      </w:r>
      <w:r>
        <w:rPr>
          <w:rFonts w:ascii="Times New Roman" w:hAnsi="Times New Roman"/>
          <w:sz w:val="20"/>
          <w:szCs w:val="20"/>
        </w:rPr>
        <w:t xml:space="preserve">                 </w:t>
      </w:r>
    </w:p>
    <w:p w:rsidR="00951671" w:rsidRDefault="00951671" w:rsidP="00951671">
      <w:pPr>
        <w:pStyle w:val="CorpodoresumoIVCBM"/>
        <w:spacing w:after="0" w:line="240" w:lineRule="auto"/>
        <w:ind w:firstLine="425"/>
        <w:rPr>
          <w:rFonts w:ascii="Times New Roman" w:hAnsi="Times New Roman"/>
          <w:sz w:val="20"/>
          <w:szCs w:val="20"/>
        </w:rPr>
      </w:pPr>
    </w:p>
    <w:p w:rsidR="00951671" w:rsidRPr="00951671" w:rsidRDefault="00951671" w:rsidP="00951671">
      <w:pPr>
        <w:pStyle w:val="CorpodoresumoIVCBM"/>
        <w:spacing w:after="0" w:line="240" w:lineRule="auto"/>
        <w:ind w:firstLine="425"/>
        <w:rPr>
          <w:rFonts w:ascii="Times New Roman" w:hAnsi="Times New Roman"/>
          <w:sz w:val="20"/>
          <w:szCs w:val="20"/>
        </w:rPr>
      </w:pPr>
      <w:r w:rsidRPr="00951671">
        <w:rPr>
          <w:rFonts w:ascii="Times New Roman" w:hAnsi="Times New Roman"/>
          <w:sz w:val="20"/>
          <w:szCs w:val="20"/>
        </w:rPr>
        <w:t>Em que,</w:t>
      </w:r>
    </w:p>
    <w:p w:rsidR="00951671" w:rsidRPr="00951671" w:rsidRDefault="00951671" w:rsidP="00951671">
      <w:pPr>
        <w:pStyle w:val="CorpodoresumoIVCBM"/>
        <w:spacing w:after="0" w:line="240" w:lineRule="auto"/>
        <w:ind w:firstLine="425"/>
        <w:rPr>
          <w:rFonts w:ascii="Times New Roman" w:hAnsi="Times New Roman"/>
          <w:sz w:val="20"/>
          <w:szCs w:val="20"/>
        </w:rPr>
      </w:pPr>
      <w:r w:rsidRPr="00951671">
        <w:rPr>
          <w:rFonts w:ascii="Times New Roman" w:hAnsi="Times New Roman"/>
          <w:sz w:val="20"/>
          <w:szCs w:val="20"/>
        </w:rPr>
        <w:t>IEP = Índice estacional de Preço, em %;</w:t>
      </w:r>
    </w:p>
    <w:p w:rsidR="00951671" w:rsidRPr="00951671" w:rsidRDefault="00951671" w:rsidP="00951671">
      <w:pPr>
        <w:pStyle w:val="CorpodoresumoIVCBM"/>
        <w:spacing w:after="0" w:line="240" w:lineRule="auto"/>
        <w:ind w:firstLine="425"/>
        <w:rPr>
          <w:rFonts w:ascii="Times New Roman" w:hAnsi="Times New Roman"/>
          <w:sz w:val="20"/>
          <w:szCs w:val="20"/>
        </w:rPr>
      </w:pPr>
      <w:r w:rsidRPr="00951671">
        <w:rPr>
          <w:rFonts w:ascii="Times New Roman" w:hAnsi="Times New Roman"/>
          <w:sz w:val="20"/>
          <w:szCs w:val="20"/>
        </w:rPr>
        <w:t>P = Preço no mês analisado, em R$;</w:t>
      </w:r>
    </w:p>
    <w:p w:rsidR="00951671" w:rsidRPr="00951671" w:rsidRDefault="00951671" w:rsidP="00951671">
      <w:pPr>
        <w:pStyle w:val="CorpodoresumoIVCBM"/>
        <w:spacing w:after="0" w:line="240" w:lineRule="auto"/>
        <w:ind w:firstLine="425"/>
        <w:rPr>
          <w:rFonts w:ascii="Times New Roman" w:hAnsi="Times New Roman"/>
          <w:sz w:val="20"/>
          <w:szCs w:val="20"/>
        </w:rPr>
      </w:pPr>
      <w:r w:rsidRPr="00951671">
        <w:rPr>
          <w:rFonts w:ascii="Times New Roman" w:hAnsi="Times New Roman"/>
          <w:sz w:val="20"/>
          <w:szCs w:val="20"/>
        </w:rPr>
        <w:t>MMC = Média Móvel Centralizada, em R$.</w:t>
      </w:r>
    </w:p>
    <w:p w:rsidR="00E24260" w:rsidRPr="00DB5205" w:rsidRDefault="00951671" w:rsidP="00951671">
      <w:pPr>
        <w:pStyle w:val="CorpodoresumoIVCBM"/>
        <w:spacing w:after="0" w:line="240" w:lineRule="auto"/>
        <w:ind w:firstLine="425"/>
        <w:rPr>
          <w:rFonts w:ascii="Times New Roman" w:hAnsi="Times New Roman"/>
          <w:sz w:val="20"/>
          <w:szCs w:val="20"/>
        </w:rPr>
      </w:pPr>
      <w:r w:rsidRPr="00951671">
        <w:rPr>
          <w:rFonts w:ascii="Times New Roman" w:hAnsi="Times New Roman"/>
          <w:sz w:val="20"/>
          <w:szCs w:val="20"/>
        </w:rPr>
        <w:t>Após a determinação dos índices estacionais de preços, determinou a média, os limites superiores e inferiores de cada mês para todo o período analisado. Esses dados foram utilizados para a confecção de gráficos onde é possível verificar a variação dos índices estacionais de preços para identificação de períodos de safras e entressafras. A partir destes dados realizou-se uma análise de estatística descritiva. A tabela e o gráfico estão apresentados nos resultados</w:t>
      </w:r>
      <w:r>
        <w:rPr>
          <w:rFonts w:ascii="Times New Roman" w:hAnsi="Times New Roman"/>
          <w:sz w:val="20"/>
          <w:szCs w:val="20"/>
        </w:rPr>
        <w:t>.</w:t>
      </w:r>
    </w:p>
    <w:p w:rsidR="00951671" w:rsidRDefault="00951671" w:rsidP="00F91DC8">
      <w:pPr>
        <w:spacing w:after="0" w:line="240" w:lineRule="auto"/>
        <w:jc w:val="both"/>
        <w:rPr>
          <w:rFonts w:ascii="Times New Roman" w:hAnsi="Times New Roman"/>
          <w:b/>
          <w:sz w:val="20"/>
          <w:szCs w:val="28"/>
        </w:rPr>
      </w:pPr>
    </w:p>
    <w:p w:rsidR="00D82B41" w:rsidRPr="00E94800" w:rsidRDefault="00D82B41" w:rsidP="00F91DC8">
      <w:pPr>
        <w:spacing w:after="0" w:line="240" w:lineRule="auto"/>
        <w:jc w:val="both"/>
        <w:rPr>
          <w:rFonts w:ascii="Times New Roman" w:hAnsi="Times New Roman"/>
          <w:b/>
          <w:sz w:val="20"/>
          <w:szCs w:val="28"/>
        </w:rPr>
      </w:pPr>
      <w:r w:rsidRPr="00E94800">
        <w:rPr>
          <w:rFonts w:ascii="Times New Roman" w:hAnsi="Times New Roman"/>
          <w:b/>
          <w:sz w:val="20"/>
          <w:szCs w:val="28"/>
        </w:rPr>
        <w:t>RESULTADOS</w:t>
      </w:r>
    </w:p>
    <w:p w:rsidR="00F91DC8" w:rsidRDefault="00F91DC8" w:rsidP="00F91DC8">
      <w:pPr>
        <w:pStyle w:val="CorpodoresumoIVCBM"/>
        <w:spacing w:after="0" w:line="240" w:lineRule="auto"/>
        <w:ind w:firstLine="425"/>
        <w:rPr>
          <w:rFonts w:ascii="Times New Roman" w:hAnsi="Times New Roman"/>
          <w:sz w:val="20"/>
          <w:szCs w:val="20"/>
        </w:rPr>
      </w:pPr>
    </w:p>
    <w:p w:rsidR="00DA6F46" w:rsidRPr="00DA6F46" w:rsidRDefault="00DA6F46" w:rsidP="00DA6F46">
      <w:pPr>
        <w:pStyle w:val="CorpodoresumoIVCBM"/>
        <w:spacing w:after="0" w:line="240" w:lineRule="auto"/>
        <w:ind w:firstLine="425"/>
        <w:rPr>
          <w:rFonts w:ascii="Times New Roman" w:hAnsi="Times New Roman"/>
          <w:sz w:val="20"/>
          <w:szCs w:val="20"/>
        </w:rPr>
      </w:pPr>
      <w:r w:rsidRPr="00DA6F46">
        <w:rPr>
          <w:rFonts w:ascii="Times New Roman" w:hAnsi="Times New Roman"/>
          <w:sz w:val="20"/>
          <w:szCs w:val="20"/>
        </w:rPr>
        <w:t>A apresentação dos resultados está organizada em tópicos, onde cada um deste constitui-se de uma cultura analisada. Em cada tópico, consta-se tabelas com a apresentação dos índices sazonais, limites superiores e limites inferiores, bem como uma estatística descritiva entre estes índices. Os gráficos desenvolvidos a partir dos índices citados permitem verificar os períodos de maiores e menores índices sazonais, sendo, por isso, possível verificar períodos de safra e entressafra.</w:t>
      </w:r>
    </w:p>
    <w:p w:rsidR="00DA6F46" w:rsidRPr="00DA6F46" w:rsidRDefault="00936742" w:rsidP="00DA6F46">
      <w:pPr>
        <w:pStyle w:val="CorpodoresumoIVCBM"/>
        <w:spacing w:after="0" w:line="240" w:lineRule="auto"/>
        <w:ind w:firstLine="425"/>
        <w:rPr>
          <w:rFonts w:ascii="Times New Roman" w:hAnsi="Times New Roman"/>
          <w:b/>
          <w:sz w:val="20"/>
          <w:szCs w:val="20"/>
        </w:rPr>
      </w:pPr>
      <w:r w:rsidRPr="00DA6F46">
        <w:rPr>
          <w:rFonts w:ascii="Times New Roman" w:hAnsi="Times New Roman"/>
          <w:b/>
          <w:sz w:val="20"/>
          <w:szCs w:val="20"/>
        </w:rPr>
        <w:t>Feijão verde</w:t>
      </w:r>
    </w:p>
    <w:p w:rsidR="00E24260" w:rsidRPr="00DB5205" w:rsidRDefault="00DA6F46" w:rsidP="00DA6F46">
      <w:pPr>
        <w:pStyle w:val="CorpodoresumoIVCBM"/>
        <w:spacing w:after="0" w:line="240" w:lineRule="auto"/>
        <w:ind w:firstLine="425"/>
        <w:rPr>
          <w:rFonts w:ascii="Times New Roman" w:hAnsi="Times New Roman"/>
          <w:sz w:val="20"/>
          <w:szCs w:val="20"/>
        </w:rPr>
      </w:pPr>
      <w:r w:rsidRPr="00DA6F46">
        <w:rPr>
          <w:rFonts w:ascii="Times New Roman" w:hAnsi="Times New Roman"/>
          <w:sz w:val="20"/>
          <w:szCs w:val="20"/>
        </w:rPr>
        <w:tab/>
        <w:t>Analisando a figura 1 a seguir, percebe-se que o kg do feijão de corda verde apresenta ciclos nítidos de elevação e abaixamento de preços. No período analisado o ano que apresentou a maior cotação foi o ano de 2012, quando a cotação média anual atingiu R$ 6,77/kg. O mês de junho de 2011 apresentou a maior cotação para o período analisado, verificando uma cotação de R$9,65/kg para este mês. Em contrapartida, no mesmo mês do ano de 2005, o kg de feijão verde apresentou a menor cotação, atingindo o valor de R$ 3,16/kg.</w:t>
      </w:r>
    </w:p>
    <w:p w:rsidR="00A65557" w:rsidRPr="00A65557" w:rsidRDefault="00A65557" w:rsidP="00A65557">
      <w:pPr>
        <w:pStyle w:val="CorpodoresumoIVCBM"/>
        <w:spacing w:after="0" w:line="240" w:lineRule="auto"/>
        <w:ind w:firstLine="425"/>
        <w:rPr>
          <w:rFonts w:ascii="Times New Roman" w:hAnsi="Times New Roman"/>
          <w:sz w:val="20"/>
          <w:szCs w:val="20"/>
        </w:rPr>
      </w:pPr>
      <w:r w:rsidRPr="00A65557">
        <w:rPr>
          <w:rFonts w:ascii="Times New Roman" w:hAnsi="Times New Roman"/>
          <w:sz w:val="20"/>
          <w:szCs w:val="20"/>
        </w:rPr>
        <w:t xml:space="preserve">Estas flutuações de preços estão associadas às oscilações nos mercados do Nordeste, onde se concentra grande parcela da produção nacional de feijão, e, principalmente, </w:t>
      </w:r>
      <w:proofErr w:type="gramStart"/>
      <w:r w:rsidRPr="00A65557">
        <w:rPr>
          <w:rFonts w:ascii="Times New Roman" w:hAnsi="Times New Roman"/>
          <w:sz w:val="20"/>
          <w:szCs w:val="20"/>
        </w:rPr>
        <w:t>à</w:t>
      </w:r>
      <w:proofErr w:type="gramEnd"/>
      <w:r w:rsidRPr="00A65557">
        <w:rPr>
          <w:rFonts w:ascii="Times New Roman" w:hAnsi="Times New Roman"/>
          <w:sz w:val="20"/>
          <w:szCs w:val="20"/>
        </w:rPr>
        <w:t xml:space="preserve"> fatores de natureza climática.</w:t>
      </w:r>
      <w:r w:rsidR="003F10FB">
        <w:rPr>
          <w:rFonts w:ascii="Times New Roman" w:hAnsi="Times New Roman"/>
          <w:sz w:val="20"/>
          <w:szCs w:val="20"/>
        </w:rPr>
        <w:t xml:space="preserve"> Segundo White (1993), o feijão </w:t>
      </w:r>
      <w:proofErr w:type="spellStart"/>
      <w:r w:rsidRPr="00A65557">
        <w:rPr>
          <w:rFonts w:ascii="Times New Roman" w:hAnsi="Times New Roman"/>
          <w:sz w:val="20"/>
          <w:szCs w:val="20"/>
        </w:rPr>
        <w:t>caupi</w:t>
      </w:r>
      <w:proofErr w:type="spellEnd"/>
      <w:r w:rsidRPr="00A65557">
        <w:rPr>
          <w:rFonts w:ascii="Times New Roman" w:hAnsi="Times New Roman"/>
          <w:sz w:val="20"/>
          <w:szCs w:val="20"/>
        </w:rPr>
        <w:t xml:space="preserve"> é uma cultura pouco tolerante a estresses hídricos tendo em vista seu curto ciclo de vida, de aproximadamente 90 dias, a demanda hídrica desta cultura tem um período bem definido o que torna a seca o segundo maior redutor da produtividade, a qual é superada apenas pela ocorrência de doenças. Outros fatores que também contribuem para estas oscilações no </w:t>
      </w:r>
      <w:r w:rsidRPr="00A65557">
        <w:rPr>
          <w:rFonts w:ascii="Times New Roman" w:hAnsi="Times New Roman"/>
          <w:sz w:val="20"/>
          <w:szCs w:val="20"/>
        </w:rPr>
        <w:lastRenderedPageBreak/>
        <w:t xml:space="preserve">mercado cearense referem-se a aspectos de natureza institucional. Este cenário também será observado de forma </w:t>
      </w:r>
      <w:r w:rsidRPr="00A65557">
        <w:rPr>
          <w:rFonts w:ascii="Times New Roman" w:hAnsi="Times New Roman"/>
          <w:sz w:val="20"/>
          <w:szCs w:val="20"/>
        </w:rPr>
        <w:lastRenderedPageBreak/>
        <w:t>semelhante nos resultados obtidos para as outras culturas analisadas neste trabalho.</w:t>
      </w:r>
    </w:p>
    <w:p w:rsidR="00E24260" w:rsidRPr="00DB5205" w:rsidRDefault="00A65557" w:rsidP="00A65557">
      <w:pPr>
        <w:pStyle w:val="CorpodoresumoIVCBM"/>
        <w:spacing w:after="0" w:line="240" w:lineRule="auto"/>
        <w:ind w:firstLine="425"/>
        <w:rPr>
          <w:rFonts w:ascii="Times New Roman" w:hAnsi="Times New Roman"/>
          <w:sz w:val="20"/>
          <w:szCs w:val="20"/>
        </w:rPr>
      </w:pPr>
      <w:r w:rsidRPr="00A65557">
        <w:rPr>
          <w:rFonts w:ascii="Times New Roman" w:hAnsi="Times New Roman"/>
          <w:sz w:val="20"/>
          <w:szCs w:val="20"/>
        </w:rPr>
        <w:tab/>
      </w:r>
    </w:p>
    <w:p w:rsidR="00E24260" w:rsidRDefault="00E24260" w:rsidP="00F91DC8">
      <w:pPr>
        <w:spacing w:after="0" w:line="240" w:lineRule="auto"/>
        <w:ind w:firstLine="425"/>
        <w:jc w:val="both"/>
        <w:rPr>
          <w:rFonts w:ascii="Times New Roman" w:hAnsi="Times New Roman"/>
          <w:sz w:val="20"/>
          <w:szCs w:val="20"/>
        </w:rPr>
        <w:sectPr w:rsidR="00E24260" w:rsidSect="00D56962">
          <w:headerReference w:type="first" r:id="rId15"/>
          <w:footerReference w:type="first" r:id="rId16"/>
          <w:type w:val="continuous"/>
          <w:pgSz w:w="11906" w:h="16838"/>
          <w:pgMar w:top="1134" w:right="851" w:bottom="1134" w:left="851" w:header="709" w:footer="709" w:gutter="0"/>
          <w:cols w:num="2" w:space="227"/>
          <w:titlePg/>
          <w:docGrid w:linePitch="360"/>
        </w:sectPr>
      </w:pPr>
    </w:p>
    <w:p w:rsidR="00E24260" w:rsidRDefault="00C81054" w:rsidP="00F91DC8">
      <w:pPr>
        <w:pStyle w:val="Legenda"/>
        <w:keepNext/>
        <w:ind w:firstLine="425"/>
        <w:jc w:val="both"/>
        <w:rPr>
          <w:color w:val="000000"/>
        </w:rPr>
      </w:pPr>
      <w:r>
        <w:rPr>
          <w:noProof/>
        </w:rPr>
        <w:lastRenderedPageBreak/>
        <w:drawing>
          <wp:anchor distT="0" distB="0" distL="114300" distR="114300" simplePos="0" relativeHeight="251664384" behindDoc="1" locked="0" layoutInCell="1" allowOverlap="1" wp14:anchorId="59DDED52" wp14:editId="31E648B1">
            <wp:simplePos x="0" y="0"/>
            <wp:positionH relativeFrom="margin">
              <wp:posOffset>890850</wp:posOffset>
            </wp:positionH>
            <wp:positionV relativeFrom="paragraph">
              <wp:posOffset>113140</wp:posOffset>
            </wp:positionV>
            <wp:extent cx="5284484" cy="329873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3025" cy="3304062"/>
                    </a:xfrm>
                    <a:prstGeom prst="rect">
                      <a:avLst/>
                    </a:prstGeom>
                    <a:noFill/>
                  </pic:spPr>
                </pic:pic>
              </a:graphicData>
            </a:graphic>
            <wp14:sizeRelH relativeFrom="page">
              <wp14:pctWidth>0</wp14:pctWidth>
            </wp14:sizeRelH>
            <wp14:sizeRelV relativeFrom="page">
              <wp14:pctHeight>0</wp14:pctHeight>
            </wp14:sizeRelV>
          </wp:anchor>
        </w:drawing>
      </w: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C81054" w:rsidRDefault="00C81054" w:rsidP="00DA6F46">
      <w:pPr>
        <w:pStyle w:val="Legenda"/>
        <w:ind w:left="425" w:hanging="425"/>
        <w:jc w:val="both"/>
        <w:outlineLvl w:val="2"/>
        <w:rPr>
          <w:color w:val="000000" w:themeColor="text1"/>
        </w:rPr>
      </w:pPr>
    </w:p>
    <w:p w:rsidR="00936742" w:rsidRDefault="00936742" w:rsidP="00DA6F46">
      <w:pPr>
        <w:pStyle w:val="Legenda"/>
        <w:ind w:left="425" w:hanging="425"/>
        <w:jc w:val="both"/>
        <w:outlineLvl w:val="2"/>
        <w:rPr>
          <w:color w:val="000000" w:themeColor="text1"/>
        </w:rPr>
      </w:pPr>
    </w:p>
    <w:p w:rsidR="00936742" w:rsidRDefault="00936742" w:rsidP="00DA6F46">
      <w:pPr>
        <w:pStyle w:val="Legenda"/>
        <w:ind w:left="425" w:hanging="425"/>
        <w:jc w:val="both"/>
        <w:outlineLvl w:val="2"/>
        <w:rPr>
          <w:color w:val="000000" w:themeColor="text1"/>
        </w:rPr>
      </w:pPr>
    </w:p>
    <w:p w:rsidR="00DA6F46" w:rsidRDefault="00DA6F46" w:rsidP="00DA6F46">
      <w:pPr>
        <w:pStyle w:val="Legenda"/>
        <w:ind w:left="425" w:hanging="425"/>
        <w:jc w:val="both"/>
        <w:outlineLvl w:val="2"/>
        <w:rPr>
          <w:b w:val="0"/>
          <w:color w:val="000000" w:themeColor="text1"/>
        </w:rPr>
      </w:pPr>
      <w:r w:rsidRPr="001E5B7E">
        <w:rPr>
          <w:color w:val="000000" w:themeColor="text1"/>
        </w:rPr>
        <w:t xml:space="preserve">Figura </w:t>
      </w:r>
      <w:r w:rsidRPr="001E5B7E">
        <w:rPr>
          <w:color w:val="000000" w:themeColor="text1"/>
        </w:rPr>
        <w:fldChar w:fldCharType="begin"/>
      </w:r>
      <w:r w:rsidRPr="001E5B7E">
        <w:rPr>
          <w:color w:val="000000" w:themeColor="text1"/>
        </w:rPr>
        <w:instrText xml:space="preserve"> SEQ Figura \* ARABIC </w:instrText>
      </w:r>
      <w:r w:rsidRPr="001E5B7E">
        <w:rPr>
          <w:color w:val="000000" w:themeColor="text1"/>
        </w:rPr>
        <w:fldChar w:fldCharType="separate"/>
      </w:r>
      <w:r w:rsidR="003C40D5">
        <w:rPr>
          <w:noProof/>
          <w:color w:val="000000" w:themeColor="text1"/>
        </w:rPr>
        <w:t>1</w:t>
      </w:r>
      <w:r w:rsidRPr="001E5B7E">
        <w:rPr>
          <w:color w:val="000000" w:themeColor="text1"/>
        </w:rPr>
        <w:fldChar w:fldCharType="end"/>
      </w:r>
      <w:r w:rsidRPr="001E5B7E">
        <w:rPr>
          <w:color w:val="000000" w:themeColor="text1"/>
        </w:rPr>
        <w:t>.</w:t>
      </w:r>
      <w:r w:rsidRPr="001E5B7E">
        <w:rPr>
          <w:b w:val="0"/>
          <w:color w:val="000000" w:themeColor="text1"/>
        </w:rPr>
        <w:t xml:space="preserve"> </w:t>
      </w:r>
      <w:r w:rsidRPr="00DA6F46">
        <w:rPr>
          <w:b w:val="0"/>
          <w:color w:val="000000"/>
        </w:rPr>
        <w:t xml:space="preserve">Evolução dos preços reais do feijão verde na CEASA – CE (Sede Maracanaú) no período de janeiro de 2005 </w:t>
      </w:r>
      <w:proofErr w:type="gramStart"/>
      <w:r w:rsidRPr="00DA6F46">
        <w:rPr>
          <w:b w:val="0"/>
          <w:color w:val="000000"/>
        </w:rPr>
        <w:t>à</w:t>
      </w:r>
      <w:proofErr w:type="gramEnd"/>
      <w:r w:rsidRPr="00DA6F46">
        <w:rPr>
          <w:b w:val="0"/>
          <w:color w:val="000000"/>
        </w:rPr>
        <w:t xml:space="preserve"> dezembro    de 2014. Nota: Valores expressos em R$ de 2014, deflacionados pelo IGP-DI (FGV, 2015).</w:t>
      </w:r>
    </w:p>
    <w:p w:rsidR="00F91DC8" w:rsidRPr="00E924A5" w:rsidRDefault="00F91DC8" w:rsidP="00415718">
      <w:pPr>
        <w:spacing w:after="0"/>
        <w:jc w:val="both"/>
        <w:rPr>
          <w:rFonts w:ascii="Times New Roman" w:hAnsi="Times New Roman" w:cs="Times New Roman"/>
          <w:color w:val="000000"/>
          <w:sz w:val="16"/>
          <w:szCs w:val="16"/>
        </w:rPr>
      </w:pPr>
    </w:p>
    <w:p w:rsidR="00E24260" w:rsidRDefault="00E24260" w:rsidP="00F91DC8">
      <w:pPr>
        <w:pStyle w:val="CorpodoresumoIVCBM"/>
        <w:spacing w:after="0" w:line="240" w:lineRule="auto"/>
        <w:ind w:firstLine="425"/>
        <w:rPr>
          <w:rFonts w:ascii="Times New Roman" w:hAnsi="Times New Roman"/>
          <w:sz w:val="20"/>
          <w:szCs w:val="20"/>
        </w:rPr>
        <w:sectPr w:rsidR="00E24260" w:rsidSect="00D56962">
          <w:type w:val="continuous"/>
          <w:pgSz w:w="11906" w:h="16838"/>
          <w:pgMar w:top="1134" w:right="851" w:bottom="1134" w:left="851" w:header="709" w:footer="709" w:gutter="0"/>
          <w:cols w:space="227"/>
          <w:titlePg/>
          <w:docGrid w:linePitch="360"/>
        </w:sectPr>
      </w:pPr>
    </w:p>
    <w:p w:rsidR="007A2031" w:rsidRDefault="00A65557" w:rsidP="007A2031">
      <w:pPr>
        <w:pStyle w:val="CorpodoresumoIVCBM"/>
        <w:spacing w:after="0" w:line="240" w:lineRule="auto"/>
        <w:ind w:firstLine="425"/>
        <w:rPr>
          <w:rFonts w:ascii="Times New Roman" w:hAnsi="Times New Roman"/>
          <w:sz w:val="20"/>
          <w:szCs w:val="20"/>
        </w:rPr>
      </w:pPr>
      <w:r w:rsidRPr="00A65557">
        <w:rPr>
          <w:rFonts w:ascii="Times New Roman" w:hAnsi="Times New Roman"/>
          <w:sz w:val="20"/>
          <w:szCs w:val="20"/>
        </w:rPr>
        <w:lastRenderedPageBreak/>
        <w:t xml:space="preserve">A figura 2 </w:t>
      </w:r>
      <w:proofErr w:type="gramStart"/>
      <w:r w:rsidRPr="00A65557">
        <w:rPr>
          <w:rFonts w:ascii="Times New Roman" w:hAnsi="Times New Roman"/>
          <w:sz w:val="20"/>
          <w:szCs w:val="20"/>
        </w:rPr>
        <w:t>à</w:t>
      </w:r>
      <w:proofErr w:type="gramEnd"/>
      <w:r w:rsidRPr="00A65557">
        <w:rPr>
          <w:rFonts w:ascii="Times New Roman" w:hAnsi="Times New Roman"/>
          <w:sz w:val="20"/>
          <w:szCs w:val="20"/>
        </w:rPr>
        <w:t xml:space="preserve"> seguir apresenta o comportamento dos índices estacionais de preços (IEP), na qual é possível observar nítida flutuação ao longo do ano. Observe que no período de novembro </w:t>
      </w:r>
      <w:proofErr w:type="gramStart"/>
      <w:r w:rsidRPr="00A65557">
        <w:rPr>
          <w:rFonts w:ascii="Times New Roman" w:hAnsi="Times New Roman"/>
          <w:sz w:val="20"/>
          <w:szCs w:val="20"/>
        </w:rPr>
        <w:t>à</w:t>
      </w:r>
      <w:proofErr w:type="gramEnd"/>
      <w:r w:rsidRPr="00A65557">
        <w:rPr>
          <w:rFonts w:ascii="Times New Roman" w:hAnsi="Times New Roman"/>
          <w:sz w:val="20"/>
          <w:szCs w:val="20"/>
        </w:rPr>
        <w:t xml:space="preserve"> março ocorrem os maiores preços, correspondendo  ao período de entressafra. Já no período de abril </w:t>
      </w:r>
      <w:proofErr w:type="gramStart"/>
      <w:r w:rsidRPr="00A65557">
        <w:rPr>
          <w:rFonts w:ascii="Times New Roman" w:hAnsi="Times New Roman"/>
          <w:sz w:val="20"/>
          <w:szCs w:val="20"/>
        </w:rPr>
        <w:t>à</w:t>
      </w:r>
      <w:proofErr w:type="gramEnd"/>
      <w:r w:rsidRPr="00A65557">
        <w:rPr>
          <w:rFonts w:ascii="Times New Roman" w:hAnsi="Times New Roman"/>
          <w:sz w:val="20"/>
          <w:szCs w:val="20"/>
        </w:rPr>
        <w:t xml:space="preserve"> outubro ocorre o período considerado de safra, em que os índices estacionais mantêm-se abaixo de 100. </w:t>
      </w:r>
    </w:p>
    <w:p w:rsidR="006A5D3A" w:rsidRDefault="00284E8F" w:rsidP="006A5D3A">
      <w:pPr>
        <w:spacing w:after="0" w:line="240" w:lineRule="auto"/>
        <w:jc w:val="both"/>
        <w:rPr>
          <w:rFonts w:ascii="Times New Roman" w:hAnsi="Times New Roman"/>
          <w:sz w:val="20"/>
          <w:szCs w:val="20"/>
        </w:rPr>
      </w:pPr>
      <w:r>
        <w:rPr>
          <w:rFonts w:ascii="Times New Roman" w:hAnsi="Times New Roman"/>
          <w:noProof/>
          <w:sz w:val="20"/>
          <w:szCs w:val="20"/>
        </w:rPr>
        <w:lastRenderedPageBreak/>
        <w:drawing>
          <wp:anchor distT="0" distB="0" distL="114300" distR="114300" simplePos="0" relativeHeight="251665408" behindDoc="1" locked="0" layoutInCell="1" allowOverlap="1" wp14:anchorId="620A6702" wp14:editId="441EA44C">
            <wp:simplePos x="0" y="0"/>
            <wp:positionH relativeFrom="margin">
              <wp:posOffset>-47625</wp:posOffset>
            </wp:positionH>
            <wp:positionV relativeFrom="margin">
              <wp:posOffset>5473065</wp:posOffset>
            </wp:positionV>
            <wp:extent cx="3270885" cy="1828800"/>
            <wp:effectExtent l="0" t="0" r="5715" b="0"/>
            <wp:wrapTight wrapText="bothSides">
              <wp:wrapPolygon edited="0">
                <wp:start x="0" y="0"/>
                <wp:lineTo x="0" y="21375"/>
                <wp:lineTo x="21512" y="21375"/>
                <wp:lineTo x="21512"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0885" cy="1828800"/>
                    </a:xfrm>
                    <a:prstGeom prst="rect">
                      <a:avLst/>
                    </a:prstGeom>
                    <a:noFill/>
                  </pic:spPr>
                </pic:pic>
              </a:graphicData>
            </a:graphic>
          </wp:anchor>
        </w:drawing>
      </w:r>
      <w:r w:rsidR="006A5D3A" w:rsidRPr="007A2031">
        <w:rPr>
          <w:rFonts w:ascii="Times New Roman" w:hAnsi="Times New Roman"/>
          <w:b/>
          <w:sz w:val="20"/>
          <w:szCs w:val="20"/>
        </w:rPr>
        <w:t>Tabela 1</w:t>
      </w:r>
      <w:r w:rsidR="006A5D3A" w:rsidRPr="007A2031">
        <w:rPr>
          <w:rFonts w:ascii="Times New Roman" w:hAnsi="Times New Roman"/>
          <w:sz w:val="20"/>
          <w:szCs w:val="20"/>
        </w:rPr>
        <w:t xml:space="preserve"> </w:t>
      </w:r>
      <w:proofErr w:type="gramStart"/>
      <w:r w:rsidR="006A5D3A" w:rsidRPr="007A2031">
        <w:rPr>
          <w:rFonts w:ascii="Times New Roman" w:hAnsi="Times New Roman"/>
          <w:sz w:val="20"/>
          <w:szCs w:val="20"/>
        </w:rPr>
        <w:t>–Estatística</w:t>
      </w:r>
      <w:proofErr w:type="gramEnd"/>
      <w:r w:rsidR="006A5D3A" w:rsidRPr="007A2031">
        <w:rPr>
          <w:rFonts w:ascii="Times New Roman" w:hAnsi="Times New Roman"/>
          <w:sz w:val="20"/>
          <w:szCs w:val="20"/>
        </w:rPr>
        <w:t xml:space="preserve"> descritiva (considerando: IEP, limite superior e limite inferior)</w:t>
      </w:r>
      <w:r w:rsidR="006A5D3A">
        <w:rPr>
          <w:rFonts w:ascii="Times New Roman" w:eastAsia="Calibri" w:hAnsi="Times New Roman" w:cs="Times New Roman"/>
          <w:sz w:val="20"/>
          <w:szCs w:val="20"/>
          <w:lang w:eastAsia="pt-BR"/>
        </w:rPr>
        <w:t xml:space="preserve"> </w:t>
      </w:r>
    </w:p>
    <w:tbl>
      <w:tblPr>
        <w:tblpPr w:leftFromText="141" w:rightFromText="141" w:vertAnchor="text" w:horzAnchor="margin" w:tblpXSpec="right" w:tblpY="659"/>
        <w:tblW w:w="4655" w:type="dxa"/>
        <w:tblCellMar>
          <w:left w:w="70" w:type="dxa"/>
          <w:right w:w="70" w:type="dxa"/>
        </w:tblCellMar>
        <w:tblLook w:val="04A0" w:firstRow="1" w:lastRow="0" w:firstColumn="1" w:lastColumn="0" w:noHBand="0" w:noVBand="1"/>
      </w:tblPr>
      <w:tblGrid>
        <w:gridCol w:w="609"/>
        <w:gridCol w:w="922"/>
        <w:gridCol w:w="635"/>
        <w:gridCol w:w="972"/>
        <w:gridCol w:w="908"/>
        <w:gridCol w:w="609"/>
      </w:tblGrid>
      <w:tr w:rsidR="006A5D3A" w:rsidRPr="00415718" w:rsidTr="006A5D3A">
        <w:trPr>
          <w:trHeight w:val="273"/>
        </w:trPr>
        <w:tc>
          <w:tcPr>
            <w:tcW w:w="609" w:type="dxa"/>
            <w:tcBorders>
              <w:top w:val="single" w:sz="4" w:space="0" w:color="auto"/>
              <w:left w:val="nil"/>
              <w:bottom w:val="single" w:sz="8" w:space="0" w:color="auto"/>
              <w:right w:val="single" w:sz="4" w:space="0" w:color="auto"/>
            </w:tcBorders>
            <w:shd w:val="clear" w:color="000000" w:fill="D7E4BC"/>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Meses</w:t>
            </w:r>
          </w:p>
        </w:tc>
        <w:tc>
          <w:tcPr>
            <w:tcW w:w="922" w:type="dxa"/>
            <w:tcBorders>
              <w:top w:val="single" w:sz="4" w:space="0" w:color="auto"/>
              <w:left w:val="nil"/>
              <w:bottom w:val="single" w:sz="8" w:space="0" w:color="auto"/>
              <w:right w:val="single" w:sz="4" w:space="0" w:color="auto"/>
            </w:tcBorders>
            <w:shd w:val="clear" w:color="000000" w:fill="D7E4BC"/>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Limite Inferior</w:t>
            </w:r>
          </w:p>
        </w:tc>
        <w:tc>
          <w:tcPr>
            <w:tcW w:w="635" w:type="dxa"/>
            <w:tcBorders>
              <w:top w:val="single" w:sz="4" w:space="0" w:color="auto"/>
              <w:left w:val="nil"/>
              <w:bottom w:val="single" w:sz="8" w:space="0" w:color="auto"/>
              <w:right w:val="single" w:sz="4" w:space="0" w:color="auto"/>
            </w:tcBorders>
            <w:shd w:val="clear" w:color="000000" w:fill="D7E4BC"/>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IEP</w:t>
            </w:r>
          </w:p>
        </w:tc>
        <w:tc>
          <w:tcPr>
            <w:tcW w:w="972" w:type="dxa"/>
            <w:tcBorders>
              <w:top w:val="single" w:sz="4" w:space="0" w:color="auto"/>
              <w:left w:val="nil"/>
              <w:bottom w:val="single" w:sz="8" w:space="0" w:color="auto"/>
              <w:right w:val="single" w:sz="4" w:space="0" w:color="auto"/>
            </w:tcBorders>
            <w:shd w:val="clear" w:color="000000" w:fill="D7E4BC"/>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Limite Superior</w:t>
            </w:r>
          </w:p>
        </w:tc>
        <w:tc>
          <w:tcPr>
            <w:tcW w:w="908" w:type="dxa"/>
            <w:tcBorders>
              <w:top w:val="single" w:sz="4" w:space="0" w:color="auto"/>
              <w:left w:val="nil"/>
              <w:bottom w:val="single" w:sz="8" w:space="0" w:color="auto"/>
              <w:right w:val="single" w:sz="4" w:space="0" w:color="auto"/>
            </w:tcBorders>
            <w:shd w:val="clear" w:color="000000" w:fill="D7E4BC"/>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Desvio Padrão</w:t>
            </w:r>
          </w:p>
        </w:tc>
        <w:tc>
          <w:tcPr>
            <w:tcW w:w="609" w:type="dxa"/>
            <w:tcBorders>
              <w:top w:val="single" w:sz="4" w:space="0" w:color="auto"/>
              <w:left w:val="nil"/>
              <w:bottom w:val="single" w:sz="8" w:space="0" w:color="auto"/>
              <w:right w:val="nil"/>
            </w:tcBorders>
            <w:shd w:val="clear" w:color="000000" w:fill="D7E4BC"/>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CV%</w:t>
            </w:r>
          </w:p>
        </w:tc>
      </w:tr>
      <w:tr w:rsidR="006A5D3A" w:rsidRPr="00415718" w:rsidTr="006A5D3A">
        <w:trPr>
          <w:trHeight w:val="259"/>
        </w:trPr>
        <w:tc>
          <w:tcPr>
            <w:tcW w:w="609" w:type="dxa"/>
            <w:tcBorders>
              <w:top w:val="nil"/>
              <w:left w:val="nil"/>
              <w:bottom w:val="nil"/>
              <w:right w:val="single" w:sz="4" w:space="0" w:color="auto"/>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Jan</w:t>
            </w:r>
          </w:p>
        </w:tc>
        <w:tc>
          <w:tcPr>
            <w:tcW w:w="92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84,95</w:t>
            </w:r>
          </w:p>
        </w:tc>
        <w:tc>
          <w:tcPr>
            <w:tcW w:w="635"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112,74</w:t>
            </w:r>
          </w:p>
        </w:tc>
        <w:tc>
          <w:tcPr>
            <w:tcW w:w="97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143,13</w:t>
            </w:r>
          </w:p>
        </w:tc>
        <w:tc>
          <w:tcPr>
            <w:tcW w:w="908"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29,10</w:t>
            </w:r>
          </w:p>
        </w:tc>
        <w:tc>
          <w:tcPr>
            <w:tcW w:w="609"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25,61</w:t>
            </w:r>
          </w:p>
        </w:tc>
      </w:tr>
      <w:tr w:rsidR="006A5D3A" w:rsidRPr="00415718" w:rsidTr="006A5D3A">
        <w:trPr>
          <w:trHeight w:val="259"/>
        </w:trPr>
        <w:tc>
          <w:tcPr>
            <w:tcW w:w="609" w:type="dxa"/>
            <w:tcBorders>
              <w:top w:val="nil"/>
              <w:left w:val="nil"/>
              <w:bottom w:val="nil"/>
              <w:right w:val="single" w:sz="4" w:space="0" w:color="auto"/>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proofErr w:type="spellStart"/>
            <w:r w:rsidRPr="00415718">
              <w:rPr>
                <w:rFonts w:ascii="Times New Roman" w:eastAsia="Times New Roman" w:hAnsi="Times New Roman" w:cs="Times New Roman"/>
                <w:color w:val="000000"/>
                <w:sz w:val="18"/>
                <w:szCs w:val="20"/>
                <w:lang w:eastAsia="pt-BR"/>
              </w:rPr>
              <w:t>Fev</w:t>
            </w:r>
            <w:proofErr w:type="spellEnd"/>
          </w:p>
        </w:tc>
        <w:tc>
          <w:tcPr>
            <w:tcW w:w="92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103,81</w:t>
            </w:r>
          </w:p>
        </w:tc>
        <w:tc>
          <w:tcPr>
            <w:tcW w:w="635"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121,19</w:t>
            </w:r>
          </w:p>
        </w:tc>
        <w:tc>
          <w:tcPr>
            <w:tcW w:w="97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140,11</w:t>
            </w:r>
          </w:p>
        </w:tc>
        <w:tc>
          <w:tcPr>
            <w:tcW w:w="908"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18,16</w:t>
            </w:r>
          </w:p>
        </w:tc>
        <w:tc>
          <w:tcPr>
            <w:tcW w:w="609"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14,92</w:t>
            </w:r>
          </w:p>
        </w:tc>
      </w:tr>
      <w:tr w:rsidR="006A5D3A" w:rsidRPr="00415718" w:rsidTr="006A5D3A">
        <w:trPr>
          <w:trHeight w:val="259"/>
        </w:trPr>
        <w:tc>
          <w:tcPr>
            <w:tcW w:w="609" w:type="dxa"/>
            <w:tcBorders>
              <w:top w:val="nil"/>
              <w:left w:val="nil"/>
              <w:bottom w:val="nil"/>
              <w:right w:val="single" w:sz="4" w:space="0" w:color="auto"/>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Mar</w:t>
            </w:r>
          </w:p>
        </w:tc>
        <w:tc>
          <w:tcPr>
            <w:tcW w:w="92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70,78</w:t>
            </w:r>
          </w:p>
        </w:tc>
        <w:tc>
          <w:tcPr>
            <w:tcW w:w="635"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118,45</w:t>
            </w:r>
          </w:p>
        </w:tc>
        <w:tc>
          <w:tcPr>
            <w:tcW w:w="97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138,25</w:t>
            </w:r>
          </w:p>
        </w:tc>
        <w:tc>
          <w:tcPr>
            <w:tcW w:w="908"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34,69</w:t>
            </w:r>
          </w:p>
        </w:tc>
        <w:tc>
          <w:tcPr>
            <w:tcW w:w="609"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31,78</w:t>
            </w:r>
          </w:p>
        </w:tc>
      </w:tr>
      <w:tr w:rsidR="006A5D3A" w:rsidRPr="00415718" w:rsidTr="006A5D3A">
        <w:trPr>
          <w:trHeight w:val="259"/>
        </w:trPr>
        <w:tc>
          <w:tcPr>
            <w:tcW w:w="609" w:type="dxa"/>
            <w:tcBorders>
              <w:top w:val="nil"/>
              <w:left w:val="nil"/>
              <w:bottom w:val="nil"/>
              <w:right w:val="single" w:sz="4" w:space="0" w:color="auto"/>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proofErr w:type="spellStart"/>
            <w:r w:rsidRPr="00415718">
              <w:rPr>
                <w:rFonts w:ascii="Times New Roman" w:eastAsia="Times New Roman" w:hAnsi="Times New Roman" w:cs="Times New Roman"/>
                <w:color w:val="000000"/>
                <w:sz w:val="18"/>
                <w:szCs w:val="20"/>
                <w:lang w:eastAsia="pt-BR"/>
              </w:rPr>
              <w:t>Abr</w:t>
            </w:r>
            <w:proofErr w:type="spellEnd"/>
          </w:p>
        </w:tc>
        <w:tc>
          <w:tcPr>
            <w:tcW w:w="92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69,19</w:t>
            </w:r>
          </w:p>
        </w:tc>
        <w:tc>
          <w:tcPr>
            <w:tcW w:w="635"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93,71</w:t>
            </w:r>
          </w:p>
        </w:tc>
        <w:tc>
          <w:tcPr>
            <w:tcW w:w="97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116,29</w:t>
            </w:r>
          </w:p>
        </w:tc>
        <w:tc>
          <w:tcPr>
            <w:tcW w:w="908"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23,56</w:t>
            </w:r>
          </w:p>
        </w:tc>
        <w:tc>
          <w:tcPr>
            <w:tcW w:w="609"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25,31</w:t>
            </w:r>
          </w:p>
        </w:tc>
      </w:tr>
      <w:tr w:rsidR="006A5D3A" w:rsidRPr="00415718" w:rsidTr="006A5D3A">
        <w:trPr>
          <w:trHeight w:val="259"/>
        </w:trPr>
        <w:tc>
          <w:tcPr>
            <w:tcW w:w="609" w:type="dxa"/>
            <w:tcBorders>
              <w:top w:val="nil"/>
              <w:left w:val="nil"/>
              <w:bottom w:val="nil"/>
              <w:right w:val="single" w:sz="4" w:space="0" w:color="auto"/>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Mai</w:t>
            </w:r>
          </w:p>
        </w:tc>
        <w:tc>
          <w:tcPr>
            <w:tcW w:w="92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64,06</w:t>
            </w:r>
          </w:p>
        </w:tc>
        <w:tc>
          <w:tcPr>
            <w:tcW w:w="635"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87,33</w:t>
            </w:r>
          </w:p>
        </w:tc>
        <w:tc>
          <w:tcPr>
            <w:tcW w:w="97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138,76</w:t>
            </w:r>
          </w:p>
        </w:tc>
        <w:tc>
          <w:tcPr>
            <w:tcW w:w="908"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38,22</w:t>
            </w:r>
          </w:p>
        </w:tc>
        <w:tc>
          <w:tcPr>
            <w:tcW w:w="609"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39,52</w:t>
            </w:r>
          </w:p>
        </w:tc>
      </w:tr>
      <w:tr w:rsidR="006A5D3A" w:rsidRPr="00415718" w:rsidTr="006A5D3A">
        <w:trPr>
          <w:trHeight w:val="259"/>
        </w:trPr>
        <w:tc>
          <w:tcPr>
            <w:tcW w:w="609" w:type="dxa"/>
            <w:tcBorders>
              <w:top w:val="nil"/>
              <w:left w:val="nil"/>
              <w:bottom w:val="nil"/>
              <w:right w:val="single" w:sz="4" w:space="0" w:color="auto"/>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proofErr w:type="spellStart"/>
            <w:r w:rsidRPr="00415718">
              <w:rPr>
                <w:rFonts w:ascii="Times New Roman" w:eastAsia="Times New Roman" w:hAnsi="Times New Roman" w:cs="Times New Roman"/>
                <w:color w:val="000000"/>
                <w:sz w:val="18"/>
                <w:szCs w:val="20"/>
                <w:lang w:eastAsia="pt-BR"/>
              </w:rPr>
              <w:t>Jun</w:t>
            </w:r>
            <w:proofErr w:type="spellEnd"/>
          </w:p>
        </w:tc>
        <w:tc>
          <w:tcPr>
            <w:tcW w:w="92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63,02</w:t>
            </w:r>
          </w:p>
        </w:tc>
        <w:tc>
          <w:tcPr>
            <w:tcW w:w="635"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93,23</w:t>
            </w:r>
          </w:p>
        </w:tc>
        <w:tc>
          <w:tcPr>
            <w:tcW w:w="97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169,92</w:t>
            </w:r>
          </w:p>
        </w:tc>
        <w:tc>
          <w:tcPr>
            <w:tcW w:w="908"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55,11</w:t>
            </w:r>
          </w:p>
        </w:tc>
        <w:tc>
          <w:tcPr>
            <w:tcW w:w="609"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50,69</w:t>
            </w:r>
          </w:p>
        </w:tc>
      </w:tr>
      <w:tr w:rsidR="006A5D3A" w:rsidRPr="00415718" w:rsidTr="006A5D3A">
        <w:trPr>
          <w:trHeight w:val="259"/>
        </w:trPr>
        <w:tc>
          <w:tcPr>
            <w:tcW w:w="609" w:type="dxa"/>
            <w:tcBorders>
              <w:top w:val="nil"/>
              <w:left w:val="nil"/>
              <w:bottom w:val="nil"/>
              <w:right w:val="single" w:sz="4" w:space="0" w:color="auto"/>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proofErr w:type="spellStart"/>
            <w:r w:rsidRPr="00415718">
              <w:rPr>
                <w:rFonts w:ascii="Times New Roman" w:eastAsia="Times New Roman" w:hAnsi="Times New Roman" w:cs="Times New Roman"/>
                <w:color w:val="000000"/>
                <w:sz w:val="18"/>
                <w:szCs w:val="20"/>
                <w:lang w:eastAsia="pt-BR"/>
              </w:rPr>
              <w:t>Jul</w:t>
            </w:r>
            <w:proofErr w:type="spellEnd"/>
          </w:p>
        </w:tc>
        <w:tc>
          <w:tcPr>
            <w:tcW w:w="92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73,49</w:t>
            </w:r>
          </w:p>
        </w:tc>
        <w:tc>
          <w:tcPr>
            <w:tcW w:w="635"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84,50</w:t>
            </w:r>
          </w:p>
        </w:tc>
        <w:tc>
          <w:tcPr>
            <w:tcW w:w="97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99,59</w:t>
            </w:r>
          </w:p>
        </w:tc>
        <w:tc>
          <w:tcPr>
            <w:tcW w:w="908"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13,10</w:t>
            </w:r>
          </w:p>
        </w:tc>
        <w:tc>
          <w:tcPr>
            <w:tcW w:w="609"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15,26</w:t>
            </w:r>
          </w:p>
        </w:tc>
      </w:tr>
      <w:tr w:rsidR="006A5D3A" w:rsidRPr="00415718" w:rsidTr="006A5D3A">
        <w:trPr>
          <w:trHeight w:val="259"/>
        </w:trPr>
        <w:tc>
          <w:tcPr>
            <w:tcW w:w="609" w:type="dxa"/>
            <w:tcBorders>
              <w:top w:val="nil"/>
              <w:left w:val="nil"/>
              <w:bottom w:val="nil"/>
              <w:right w:val="single" w:sz="4" w:space="0" w:color="auto"/>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proofErr w:type="spellStart"/>
            <w:r w:rsidRPr="00415718">
              <w:rPr>
                <w:rFonts w:ascii="Times New Roman" w:eastAsia="Times New Roman" w:hAnsi="Times New Roman" w:cs="Times New Roman"/>
                <w:color w:val="000000"/>
                <w:sz w:val="18"/>
                <w:szCs w:val="20"/>
                <w:lang w:eastAsia="pt-BR"/>
              </w:rPr>
              <w:t>Ago</w:t>
            </w:r>
            <w:proofErr w:type="spellEnd"/>
          </w:p>
        </w:tc>
        <w:tc>
          <w:tcPr>
            <w:tcW w:w="92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75,18</w:t>
            </w:r>
          </w:p>
        </w:tc>
        <w:tc>
          <w:tcPr>
            <w:tcW w:w="635"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90,45</w:t>
            </w:r>
          </w:p>
        </w:tc>
        <w:tc>
          <w:tcPr>
            <w:tcW w:w="97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116,13</w:t>
            </w:r>
          </w:p>
        </w:tc>
        <w:tc>
          <w:tcPr>
            <w:tcW w:w="908"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20,69</w:t>
            </w:r>
          </w:p>
        </w:tc>
        <w:tc>
          <w:tcPr>
            <w:tcW w:w="609"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22,03</w:t>
            </w:r>
          </w:p>
        </w:tc>
      </w:tr>
      <w:tr w:rsidR="006A5D3A" w:rsidRPr="00415718" w:rsidTr="006A5D3A">
        <w:trPr>
          <w:trHeight w:val="259"/>
        </w:trPr>
        <w:tc>
          <w:tcPr>
            <w:tcW w:w="609" w:type="dxa"/>
            <w:tcBorders>
              <w:top w:val="nil"/>
              <w:left w:val="nil"/>
              <w:bottom w:val="nil"/>
              <w:right w:val="single" w:sz="4" w:space="0" w:color="auto"/>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Set</w:t>
            </w:r>
          </w:p>
        </w:tc>
        <w:tc>
          <w:tcPr>
            <w:tcW w:w="92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75,49</w:t>
            </w:r>
          </w:p>
        </w:tc>
        <w:tc>
          <w:tcPr>
            <w:tcW w:w="635"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91,74</w:t>
            </w:r>
          </w:p>
        </w:tc>
        <w:tc>
          <w:tcPr>
            <w:tcW w:w="97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112,72</w:t>
            </w:r>
          </w:p>
        </w:tc>
        <w:tc>
          <w:tcPr>
            <w:tcW w:w="908"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18,66</w:t>
            </w:r>
          </w:p>
        </w:tc>
        <w:tc>
          <w:tcPr>
            <w:tcW w:w="609"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20,00</w:t>
            </w:r>
          </w:p>
        </w:tc>
      </w:tr>
      <w:tr w:rsidR="006A5D3A" w:rsidRPr="00415718" w:rsidTr="006A5D3A">
        <w:trPr>
          <w:trHeight w:val="259"/>
        </w:trPr>
        <w:tc>
          <w:tcPr>
            <w:tcW w:w="609" w:type="dxa"/>
            <w:tcBorders>
              <w:top w:val="nil"/>
              <w:left w:val="nil"/>
              <w:bottom w:val="nil"/>
              <w:right w:val="single" w:sz="4" w:space="0" w:color="auto"/>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Out</w:t>
            </w:r>
          </w:p>
        </w:tc>
        <w:tc>
          <w:tcPr>
            <w:tcW w:w="92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70,01</w:t>
            </w:r>
          </w:p>
        </w:tc>
        <w:tc>
          <w:tcPr>
            <w:tcW w:w="635"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95,99</w:t>
            </w:r>
          </w:p>
        </w:tc>
        <w:tc>
          <w:tcPr>
            <w:tcW w:w="97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112,75</w:t>
            </w:r>
          </w:p>
        </w:tc>
        <w:tc>
          <w:tcPr>
            <w:tcW w:w="908"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21,53</w:t>
            </w:r>
          </w:p>
        </w:tc>
        <w:tc>
          <w:tcPr>
            <w:tcW w:w="609"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23,18</w:t>
            </w:r>
          </w:p>
        </w:tc>
      </w:tr>
      <w:tr w:rsidR="006A5D3A" w:rsidRPr="00415718" w:rsidTr="006A5D3A">
        <w:trPr>
          <w:trHeight w:val="259"/>
        </w:trPr>
        <w:tc>
          <w:tcPr>
            <w:tcW w:w="609" w:type="dxa"/>
            <w:tcBorders>
              <w:top w:val="nil"/>
              <w:left w:val="nil"/>
              <w:bottom w:val="nil"/>
              <w:right w:val="single" w:sz="4" w:space="0" w:color="auto"/>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proofErr w:type="spellStart"/>
            <w:r w:rsidRPr="00415718">
              <w:rPr>
                <w:rFonts w:ascii="Times New Roman" w:eastAsia="Times New Roman" w:hAnsi="Times New Roman" w:cs="Times New Roman"/>
                <w:color w:val="000000"/>
                <w:sz w:val="18"/>
                <w:szCs w:val="20"/>
                <w:lang w:eastAsia="pt-BR"/>
              </w:rPr>
              <w:t>Nov</w:t>
            </w:r>
            <w:proofErr w:type="spellEnd"/>
          </w:p>
        </w:tc>
        <w:tc>
          <w:tcPr>
            <w:tcW w:w="92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83,86</w:t>
            </w:r>
          </w:p>
        </w:tc>
        <w:tc>
          <w:tcPr>
            <w:tcW w:w="635"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100,77</w:t>
            </w:r>
          </w:p>
        </w:tc>
        <w:tc>
          <w:tcPr>
            <w:tcW w:w="972"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112,85</w:t>
            </w:r>
          </w:p>
        </w:tc>
        <w:tc>
          <w:tcPr>
            <w:tcW w:w="908"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14,56</w:t>
            </w:r>
          </w:p>
        </w:tc>
        <w:tc>
          <w:tcPr>
            <w:tcW w:w="609" w:type="dxa"/>
            <w:tcBorders>
              <w:top w:val="nil"/>
              <w:left w:val="nil"/>
              <w:bottom w:val="nil"/>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14,69</w:t>
            </w:r>
          </w:p>
        </w:tc>
      </w:tr>
      <w:tr w:rsidR="006A5D3A" w:rsidRPr="00415718" w:rsidTr="006A5D3A">
        <w:trPr>
          <w:trHeight w:val="273"/>
        </w:trPr>
        <w:tc>
          <w:tcPr>
            <w:tcW w:w="609" w:type="dxa"/>
            <w:tcBorders>
              <w:top w:val="nil"/>
              <w:left w:val="nil"/>
              <w:bottom w:val="single" w:sz="8" w:space="0" w:color="auto"/>
              <w:right w:val="single" w:sz="4" w:space="0" w:color="auto"/>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Dez</w:t>
            </w:r>
          </w:p>
        </w:tc>
        <w:tc>
          <w:tcPr>
            <w:tcW w:w="922" w:type="dxa"/>
            <w:tcBorders>
              <w:top w:val="nil"/>
              <w:left w:val="nil"/>
              <w:bottom w:val="single" w:sz="8" w:space="0" w:color="auto"/>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89,58</w:t>
            </w:r>
          </w:p>
        </w:tc>
        <w:tc>
          <w:tcPr>
            <w:tcW w:w="635" w:type="dxa"/>
            <w:tcBorders>
              <w:top w:val="nil"/>
              <w:left w:val="nil"/>
              <w:bottom w:val="single" w:sz="8" w:space="0" w:color="auto"/>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110,15</w:t>
            </w:r>
          </w:p>
        </w:tc>
        <w:tc>
          <w:tcPr>
            <w:tcW w:w="972" w:type="dxa"/>
            <w:tcBorders>
              <w:top w:val="nil"/>
              <w:left w:val="nil"/>
              <w:bottom w:val="single" w:sz="8" w:space="0" w:color="auto"/>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134,29</w:t>
            </w:r>
          </w:p>
        </w:tc>
        <w:tc>
          <w:tcPr>
            <w:tcW w:w="908" w:type="dxa"/>
            <w:tcBorders>
              <w:top w:val="nil"/>
              <w:left w:val="nil"/>
              <w:bottom w:val="single" w:sz="8" w:space="0" w:color="auto"/>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22,38</w:t>
            </w:r>
          </w:p>
        </w:tc>
        <w:tc>
          <w:tcPr>
            <w:tcW w:w="609" w:type="dxa"/>
            <w:tcBorders>
              <w:top w:val="nil"/>
              <w:left w:val="nil"/>
              <w:bottom w:val="single" w:sz="8" w:space="0" w:color="auto"/>
              <w:right w:val="nil"/>
            </w:tcBorders>
            <w:shd w:val="clear" w:color="auto" w:fill="auto"/>
            <w:noWrap/>
            <w:vAlign w:val="bottom"/>
            <w:hideMark/>
          </w:tcPr>
          <w:p w:rsidR="006A5D3A" w:rsidRPr="00415718" w:rsidRDefault="006A5D3A" w:rsidP="006A5D3A">
            <w:pPr>
              <w:spacing w:after="0" w:line="240" w:lineRule="auto"/>
              <w:jc w:val="center"/>
              <w:rPr>
                <w:rFonts w:ascii="Times New Roman" w:eastAsia="Times New Roman" w:hAnsi="Times New Roman" w:cs="Times New Roman"/>
                <w:color w:val="000000"/>
                <w:sz w:val="18"/>
                <w:szCs w:val="20"/>
                <w:lang w:eastAsia="pt-BR"/>
              </w:rPr>
            </w:pPr>
            <w:r w:rsidRPr="00415718">
              <w:rPr>
                <w:rFonts w:ascii="Times New Roman" w:eastAsia="Times New Roman" w:hAnsi="Times New Roman" w:cs="Times New Roman"/>
                <w:color w:val="000000"/>
                <w:sz w:val="18"/>
                <w:szCs w:val="20"/>
                <w:lang w:eastAsia="pt-BR"/>
              </w:rPr>
              <w:t>20,10</w:t>
            </w:r>
          </w:p>
        </w:tc>
      </w:tr>
    </w:tbl>
    <w:p w:rsidR="00415718" w:rsidRDefault="00415718" w:rsidP="00936742">
      <w:pPr>
        <w:spacing w:after="0" w:line="240" w:lineRule="auto"/>
        <w:jc w:val="both"/>
        <w:rPr>
          <w:rFonts w:ascii="Times New Roman" w:hAnsi="Times New Roman"/>
          <w:sz w:val="20"/>
          <w:szCs w:val="20"/>
        </w:rPr>
        <w:sectPr w:rsidR="00415718" w:rsidSect="00D56962">
          <w:type w:val="continuous"/>
          <w:pgSz w:w="11906" w:h="16838"/>
          <w:pgMar w:top="1134" w:right="851" w:bottom="1134" w:left="851" w:header="709" w:footer="709" w:gutter="0"/>
          <w:cols w:num="2" w:space="227"/>
          <w:titlePg/>
          <w:docGrid w:linePitch="360"/>
        </w:sectPr>
      </w:pPr>
    </w:p>
    <w:p w:rsidR="006A5D3A" w:rsidRDefault="006A5D3A" w:rsidP="006A5D3A">
      <w:pPr>
        <w:pStyle w:val="CorpodoresumoIVCBM"/>
        <w:spacing w:after="0" w:line="240" w:lineRule="auto"/>
        <w:ind w:firstLine="0"/>
        <w:rPr>
          <w:rFonts w:ascii="Times New Roman" w:hAnsi="Times New Roman"/>
          <w:sz w:val="20"/>
          <w:szCs w:val="20"/>
        </w:rPr>
        <w:sectPr w:rsidR="006A5D3A" w:rsidSect="00D56962">
          <w:type w:val="continuous"/>
          <w:pgSz w:w="11906" w:h="16838"/>
          <w:pgMar w:top="1134" w:right="851" w:bottom="1134" w:left="851" w:header="709" w:footer="709" w:gutter="0"/>
          <w:cols w:space="227"/>
          <w:titlePg/>
          <w:docGrid w:linePitch="360"/>
        </w:sectPr>
      </w:pPr>
    </w:p>
    <w:p w:rsidR="006A5D3A" w:rsidRDefault="006A5D3A" w:rsidP="006A5D3A">
      <w:pPr>
        <w:pStyle w:val="Legenda"/>
        <w:jc w:val="both"/>
        <w:outlineLvl w:val="2"/>
        <w:rPr>
          <w:b w:val="0"/>
          <w:color w:val="000000" w:themeColor="text1"/>
        </w:rPr>
      </w:pPr>
      <w:r w:rsidRPr="001E5B7E">
        <w:rPr>
          <w:color w:val="000000" w:themeColor="text1"/>
        </w:rPr>
        <w:t>Figura</w:t>
      </w:r>
      <w:r>
        <w:rPr>
          <w:color w:val="000000" w:themeColor="text1"/>
        </w:rPr>
        <w:t xml:space="preserve"> 2</w:t>
      </w:r>
      <w:r w:rsidRPr="001E5B7E">
        <w:rPr>
          <w:color w:val="000000" w:themeColor="text1"/>
        </w:rPr>
        <w:t>.</w:t>
      </w:r>
      <w:r w:rsidRPr="001E5B7E">
        <w:rPr>
          <w:b w:val="0"/>
          <w:color w:val="000000" w:themeColor="text1"/>
        </w:rPr>
        <w:t xml:space="preserve"> </w:t>
      </w:r>
      <w:r w:rsidRPr="00A65A1C">
        <w:rPr>
          <w:b w:val="0"/>
          <w:color w:val="000000" w:themeColor="text1"/>
        </w:rPr>
        <w:t xml:space="preserve">Índices estacionais de Preços do feijão verde, </w:t>
      </w:r>
    </w:p>
    <w:p w:rsidR="006A5D3A" w:rsidRDefault="006A5D3A" w:rsidP="006A5D3A">
      <w:pPr>
        <w:pStyle w:val="Legenda"/>
        <w:jc w:val="both"/>
        <w:outlineLvl w:val="2"/>
        <w:rPr>
          <w:b w:val="0"/>
          <w:color w:val="000000" w:themeColor="text1"/>
        </w:rPr>
      </w:pPr>
      <w:proofErr w:type="gramStart"/>
      <w:r w:rsidRPr="00A65A1C">
        <w:rPr>
          <w:b w:val="0"/>
          <w:color w:val="000000" w:themeColor="text1"/>
        </w:rPr>
        <w:t>na</w:t>
      </w:r>
      <w:proofErr w:type="gramEnd"/>
      <w:r w:rsidRPr="00A65A1C">
        <w:rPr>
          <w:b w:val="0"/>
          <w:color w:val="000000" w:themeColor="text1"/>
        </w:rPr>
        <w:t xml:space="preserve"> CEASA – CE.</w:t>
      </w:r>
      <w:r>
        <w:rPr>
          <w:b w:val="0"/>
          <w:color w:val="000000" w:themeColor="text1"/>
        </w:rPr>
        <w:t xml:space="preserve"> </w:t>
      </w:r>
    </w:p>
    <w:p w:rsidR="006A5D3A" w:rsidRDefault="006A5D3A" w:rsidP="006A5D3A">
      <w:pPr>
        <w:pStyle w:val="CorpodoresumoIVCBM"/>
        <w:spacing w:after="0" w:line="240" w:lineRule="auto"/>
        <w:ind w:firstLine="426"/>
        <w:rPr>
          <w:rFonts w:ascii="Times New Roman" w:hAnsi="Times New Roman"/>
          <w:sz w:val="20"/>
          <w:szCs w:val="20"/>
        </w:rPr>
      </w:pPr>
      <w:r w:rsidRPr="006A5D3A">
        <w:rPr>
          <w:rFonts w:ascii="Times New Roman" w:hAnsi="Times New Roman"/>
          <w:sz w:val="20"/>
          <w:szCs w:val="20"/>
        </w:rPr>
        <w:t xml:space="preserve">A tabela 1 a seguir, apresenta uma análise estatística descritiva dos índices estacionais de preços, limites inferiores e limites.             </w:t>
      </w:r>
    </w:p>
    <w:p w:rsidR="006A5D3A" w:rsidRDefault="006A5D3A" w:rsidP="006A5D3A">
      <w:pPr>
        <w:pStyle w:val="CorpodoresumoIVCBM"/>
        <w:spacing w:after="0" w:line="240" w:lineRule="auto"/>
        <w:ind w:firstLine="0"/>
        <w:rPr>
          <w:rFonts w:ascii="Times New Roman" w:hAnsi="Times New Roman"/>
          <w:sz w:val="20"/>
          <w:szCs w:val="20"/>
        </w:rPr>
      </w:pPr>
    </w:p>
    <w:p w:rsidR="006A5D3A" w:rsidRDefault="006A5D3A" w:rsidP="006A5D3A">
      <w:pPr>
        <w:pStyle w:val="CorpodoresumoIVCBM"/>
        <w:spacing w:after="0" w:line="240" w:lineRule="auto"/>
        <w:ind w:firstLine="0"/>
        <w:rPr>
          <w:rFonts w:ascii="Times New Roman" w:hAnsi="Times New Roman"/>
          <w:sz w:val="20"/>
          <w:szCs w:val="20"/>
        </w:rPr>
      </w:pPr>
    </w:p>
    <w:p w:rsidR="00284E8F" w:rsidRDefault="00284E8F" w:rsidP="006A5D3A">
      <w:pPr>
        <w:pStyle w:val="CorpodoresumoIVCBM"/>
        <w:spacing w:after="0" w:line="240" w:lineRule="auto"/>
        <w:ind w:firstLine="426"/>
        <w:rPr>
          <w:rFonts w:ascii="Times New Roman" w:hAnsi="Times New Roman"/>
          <w:sz w:val="20"/>
          <w:szCs w:val="20"/>
        </w:rPr>
      </w:pPr>
    </w:p>
    <w:p w:rsidR="00284E8F" w:rsidRDefault="00284E8F" w:rsidP="006A5D3A">
      <w:pPr>
        <w:pStyle w:val="CorpodoresumoIVCBM"/>
        <w:spacing w:after="0" w:line="240" w:lineRule="auto"/>
        <w:ind w:firstLine="426"/>
        <w:rPr>
          <w:rFonts w:ascii="Times New Roman" w:hAnsi="Times New Roman"/>
          <w:sz w:val="20"/>
          <w:szCs w:val="20"/>
        </w:rPr>
      </w:pPr>
    </w:p>
    <w:p w:rsidR="00284E8F" w:rsidRDefault="00284E8F" w:rsidP="006A5D3A">
      <w:pPr>
        <w:pStyle w:val="CorpodoresumoIVCBM"/>
        <w:spacing w:after="0" w:line="240" w:lineRule="auto"/>
        <w:ind w:firstLine="426"/>
        <w:rPr>
          <w:rFonts w:ascii="Times New Roman" w:hAnsi="Times New Roman"/>
          <w:sz w:val="20"/>
          <w:szCs w:val="20"/>
        </w:rPr>
      </w:pPr>
    </w:p>
    <w:p w:rsidR="00284E8F" w:rsidRDefault="00284E8F" w:rsidP="006A5D3A">
      <w:pPr>
        <w:pStyle w:val="CorpodoresumoIVCBM"/>
        <w:spacing w:after="0" w:line="240" w:lineRule="auto"/>
        <w:ind w:firstLine="426"/>
        <w:rPr>
          <w:rFonts w:ascii="Times New Roman" w:hAnsi="Times New Roman"/>
          <w:sz w:val="20"/>
          <w:szCs w:val="20"/>
        </w:rPr>
      </w:pPr>
    </w:p>
    <w:p w:rsidR="00284E8F" w:rsidRDefault="00284E8F" w:rsidP="006A5D3A">
      <w:pPr>
        <w:pStyle w:val="CorpodoresumoIVCBM"/>
        <w:spacing w:after="0" w:line="240" w:lineRule="auto"/>
        <w:ind w:firstLine="426"/>
        <w:rPr>
          <w:rFonts w:ascii="Times New Roman" w:hAnsi="Times New Roman"/>
          <w:sz w:val="20"/>
          <w:szCs w:val="20"/>
        </w:rPr>
      </w:pPr>
    </w:p>
    <w:p w:rsidR="006A5D3A" w:rsidRDefault="006A5D3A" w:rsidP="006A5D3A">
      <w:pPr>
        <w:pStyle w:val="CorpodoresumoIVCBM"/>
        <w:spacing w:after="0" w:line="240" w:lineRule="auto"/>
        <w:ind w:firstLine="426"/>
        <w:rPr>
          <w:rFonts w:ascii="Times New Roman" w:hAnsi="Times New Roman"/>
          <w:sz w:val="20"/>
          <w:szCs w:val="20"/>
        </w:rPr>
      </w:pPr>
      <w:r w:rsidRPr="00AB64EC">
        <w:rPr>
          <w:rFonts w:ascii="Times New Roman" w:hAnsi="Times New Roman"/>
          <w:sz w:val="20"/>
          <w:szCs w:val="20"/>
        </w:rPr>
        <w:t xml:space="preserve">Com a observação da tabela 1, embasada pela análise do gráfico da figura 2, pode-se observar uma mudança significativa no comportamento dos preços ao longo do ano, com alta no período de entressafra, nos meses de novembro </w:t>
      </w:r>
      <w:proofErr w:type="gramStart"/>
      <w:r w:rsidRPr="00AB64EC">
        <w:rPr>
          <w:rFonts w:ascii="Times New Roman" w:hAnsi="Times New Roman"/>
          <w:sz w:val="20"/>
          <w:szCs w:val="20"/>
        </w:rPr>
        <w:t>à</w:t>
      </w:r>
      <w:proofErr w:type="gramEnd"/>
      <w:r w:rsidRPr="00AB64EC">
        <w:rPr>
          <w:rFonts w:ascii="Times New Roman" w:hAnsi="Times New Roman"/>
          <w:sz w:val="20"/>
          <w:szCs w:val="20"/>
        </w:rPr>
        <w:t xml:space="preserve"> março, onde o pico de preço ocorre no mês de fevereiro, cujo índice é de 121,19%. Já no período de safra da cultura, nos meses de abril </w:t>
      </w:r>
      <w:proofErr w:type="gramStart"/>
      <w:r w:rsidRPr="00AB64EC">
        <w:rPr>
          <w:rFonts w:ascii="Times New Roman" w:hAnsi="Times New Roman"/>
          <w:sz w:val="20"/>
          <w:szCs w:val="20"/>
        </w:rPr>
        <w:t>à</w:t>
      </w:r>
      <w:proofErr w:type="gramEnd"/>
      <w:r w:rsidRPr="00AB64EC">
        <w:rPr>
          <w:rFonts w:ascii="Times New Roman" w:hAnsi="Times New Roman"/>
          <w:sz w:val="20"/>
          <w:szCs w:val="20"/>
        </w:rPr>
        <w:t xml:space="preserve"> outubro, os preços tendem a diminuir, atingido o valor mínimo de 84,50% no mês de outubro.</w:t>
      </w:r>
    </w:p>
    <w:p w:rsidR="00726816" w:rsidRDefault="00726816" w:rsidP="006A5D3A">
      <w:pPr>
        <w:pStyle w:val="CorpodoresumoIVCBM"/>
        <w:spacing w:after="0" w:line="240" w:lineRule="auto"/>
        <w:ind w:firstLine="426"/>
        <w:rPr>
          <w:rFonts w:ascii="Times New Roman" w:hAnsi="Times New Roman"/>
          <w:sz w:val="20"/>
          <w:szCs w:val="20"/>
        </w:rPr>
      </w:pPr>
    </w:p>
    <w:p w:rsidR="00726816" w:rsidRDefault="00726816" w:rsidP="006A5D3A">
      <w:pPr>
        <w:pStyle w:val="CorpodoresumoIVCBM"/>
        <w:spacing w:after="0" w:line="240" w:lineRule="auto"/>
        <w:ind w:firstLine="426"/>
        <w:rPr>
          <w:rFonts w:ascii="Times New Roman" w:hAnsi="Times New Roman"/>
          <w:sz w:val="20"/>
          <w:szCs w:val="20"/>
        </w:rPr>
      </w:pPr>
    </w:p>
    <w:p w:rsidR="00AA2A75" w:rsidRDefault="00AA2A75" w:rsidP="006A5D3A">
      <w:pPr>
        <w:pStyle w:val="CorpodoresumoIVCBM"/>
        <w:spacing w:after="0" w:line="240" w:lineRule="auto"/>
        <w:ind w:firstLine="426"/>
        <w:rPr>
          <w:rFonts w:ascii="Times New Roman" w:hAnsi="Times New Roman"/>
          <w:sz w:val="20"/>
          <w:szCs w:val="20"/>
        </w:rPr>
      </w:pPr>
    </w:p>
    <w:p w:rsidR="00AA2A75" w:rsidRDefault="00AA2A75" w:rsidP="006A5D3A">
      <w:pPr>
        <w:pStyle w:val="CorpodoresumoIVCBM"/>
        <w:spacing w:after="0" w:line="240" w:lineRule="auto"/>
        <w:ind w:firstLine="426"/>
        <w:rPr>
          <w:rFonts w:ascii="Times New Roman" w:hAnsi="Times New Roman"/>
          <w:sz w:val="20"/>
          <w:szCs w:val="20"/>
        </w:rPr>
      </w:pPr>
    </w:p>
    <w:p w:rsidR="00AA2A75" w:rsidRDefault="00AA2A75" w:rsidP="006A5D3A">
      <w:pPr>
        <w:pStyle w:val="CorpodoresumoIVCBM"/>
        <w:spacing w:after="0" w:line="240" w:lineRule="auto"/>
        <w:ind w:firstLine="426"/>
        <w:rPr>
          <w:rFonts w:ascii="Times New Roman" w:hAnsi="Times New Roman"/>
          <w:sz w:val="20"/>
          <w:szCs w:val="20"/>
        </w:rPr>
        <w:sectPr w:rsidR="00AA2A75" w:rsidSect="006A5D3A">
          <w:type w:val="continuous"/>
          <w:pgSz w:w="11906" w:h="16838"/>
          <w:pgMar w:top="1134" w:right="851" w:bottom="1134" w:left="851" w:header="709" w:footer="709" w:gutter="0"/>
          <w:cols w:num="2" w:space="227"/>
          <w:titlePg/>
          <w:docGrid w:linePitch="360"/>
        </w:sectPr>
      </w:pPr>
    </w:p>
    <w:p w:rsidR="00E24260" w:rsidRDefault="00E24260" w:rsidP="0075072C">
      <w:pPr>
        <w:spacing w:after="0" w:line="240" w:lineRule="auto"/>
        <w:jc w:val="both"/>
        <w:rPr>
          <w:rFonts w:ascii="Times New Roman" w:hAnsi="Times New Roman"/>
          <w:sz w:val="20"/>
          <w:szCs w:val="20"/>
        </w:rPr>
        <w:sectPr w:rsidR="00E24260" w:rsidSect="00D56962">
          <w:type w:val="continuous"/>
          <w:pgSz w:w="11906" w:h="16838"/>
          <w:pgMar w:top="1134" w:right="851" w:bottom="1134" w:left="851" w:header="709" w:footer="709" w:gutter="0"/>
          <w:cols w:space="227"/>
          <w:titlePg/>
          <w:docGrid w:linePitch="360"/>
        </w:sectPr>
      </w:pPr>
    </w:p>
    <w:p w:rsidR="00726816" w:rsidRPr="00AB64EC" w:rsidRDefault="00726816" w:rsidP="00726816">
      <w:pPr>
        <w:pStyle w:val="CorpodoresumoIVCBM"/>
        <w:spacing w:after="0" w:line="240" w:lineRule="auto"/>
        <w:ind w:firstLine="0"/>
        <w:rPr>
          <w:rFonts w:ascii="Times New Roman" w:hAnsi="Times New Roman"/>
          <w:b/>
          <w:sz w:val="20"/>
          <w:szCs w:val="20"/>
        </w:rPr>
      </w:pPr>
      <w:r w:rsidRPr="00AB64EC">
        <w:rPr>
          <w:rFonts w:ascii="Times New Roman" w:hAnsi="Times New Roman"/>
          <w:b/>
          <w:sz w:val="20"/>
          <w:szCs w:val="20"/>
        </w:rPr>
        <w:lastRenderedPageBreak/>
        <w:t>Feijão seco</w:t>
      </w:r>
    </w:p>
    <w:p w:rsidR="00726816" w:rsidRDefault="00726816" w:rsidP="00726816">
      <w:pPr>
        <w:pStyle w:val="CorpodoresumoIVCBM"/>
        <w:spacing w:after="0" w:line="240" w:lineRule="auto"/>
        <w:ind w:firstLine="425"/>
        <w:rPr>
          <w:rFonts w:ascii="Times New Roman" w:hAnsi="Times New Roman"/>
          <w:sz w:val="20"/>
          <w:szCs w:val="20"/>
        </w:rPr>
      </w:pPr>
      <w:r w:rsidRPr="00AB64EC">
        <w:rPr>
          <w:rFonts w:ascii="Times New Roman" w:hAnsi="Times New Roman"/>
          <w:sz w:val="20"/>
          <w:szCs w:val="20"/>
        </w:rPr>
        <w:t xml:space="preserve">Analisando a figura 3 a seguir, pode-se verificar que, conforme ocorreu com o feijão verde, o feijão seco também apresenta ciclos nítidos de oscilação de preços. A maior cotação média anual para a saca de 60 kg de feijão seco ocorreu no ano de 2013, quando esta atingiu a cotação de R$ </w:t>
      </w:r>
      <w:r w:rsidRPr="00AB64EC">
        <w:rPr>
          <w:rFonts w:ascii="Times New Roman" w:hAnsi="Times New Roman"/>
          <w:sz w:val="20"/>
          <w:szCs w:val="20"/>
        </w:rPr>
        <w:lastRenderedPageBreak/>
        <w:t>244,84. O mês cuja cotação foi a maior para os 10 anos analisados foi abril de 2013, quando a cotação chego</w:t>
      </w:r>
      <w:r>
        <w:rPr>
          <w:rFonts w:ascii="Times New Roman" w:hAnsi="Times New Roman"/>
          <w:sz w:val="20"/>
          <w:szCs w:val="20"/>
        </w:rPr>
        <w:t xml:space="preserve">u a R$ 379,05/SC de 60 kg. Já o </w:t>
      </w:r>
      <w:r w:rsidRPr="00AB64EC">
        <w:rPr>
          <w:rFonts w:ascii="Times New Roman" w:hAnsi="Times New Roman"/>
          <w:sz w:val="20"/>
          <w:szCs w:val="20"/>
        </w:rPr>
        <w:t>mês de menor cotação para o período foi ag</w:t>
      </w:r>
      <w:r>
        <w:rPr>
          <w:rFonts w:ascii="Times New Roman" w:hAnsi="Times New Roman"/>
          <w:sz w:val="20"/>
          <w:szCs w:val="20"/>
        </w:rPr>
        <w:t xml:space="preserve">osto de 2014, quando a cotação </w:t>
      </w:r>
      <w:r w:rsidRPr="00AB64EC">
        <w:rPr>
          <w:rFonts w:ascii="Times New Roman" w:hAnsi="Times New Roman"/>
          <w:sz w:val="20"/>
          <w:szCs w:val="20"/>
        </w:rPr>
        <w:t>atingiu o valor de R$ 88,75/SC de 60 kg.</w:t>
      </w:r>
    </w:p>
    <w:p w:rsidR="00726816" w:rsidRPr="00DB5205" w:rsidRDefault="00726816" w:rsidP="00726816">
      <w:pPr>
        <w:pStyle w:val="CorpodoresumoIVCBM"/>
        <w:spacing w:after="0" w:line="240" w:lineRule="auto"/>
        <w:ind w:firstLine="425"/>
        <w:rPr>
          <w:rFonts w:ascii="Times New Roman" w:hAnsi="Times New Roman"/>
          <w:sz w:val="20"/>
          <w:szCs w:val="20"/>
        </w:rPr>
      </w:pPr>
      <w:r w:rsidRPr="00A65557">
        <w:rPr>
          <w:rFonts w:ascii="Times New Roman" w:hAnsi="Times New Roman"/>
          <w:sz w:val="20"/>
          <w:szCs w:val="20"/>
        </w:rPr>
        <w:tab/>
      </w:r>
    </w:p>
    <w:p w:rsidR="00726816" w:rsidRDefault="00726816" w:rsidP="00726816">
      <w:pPr>
        <w:spacing w:after="0" w:line="240" w:lineRule="auto"/>
        <w:ind w:firstLine="425"/>
        <w:jc w:val="both"/>
        <w:rPr>
          <w:rFonts w:ascii="Times New Roman" w:hAnsi="Times New Roman"/>
          <w:sz w:val="20"/>
          <w:szCs w:val="20"/>
        </w:rPr>
        <w:sectPr w:rsidR="00726816" w:rsidSect="00D56962">
          <w:headerReference w:type="first" r:id="rId19"/>
          <w:footerReference w:type="first" r:id="rId20"/>
          <w:type w:val="continuous"/>
          <w:pgSz w:w="11906" w:h="16838"/>
          <w:pgMar w:top="1134" w:right="851" w:bottom="1134" w:left="851" w:header="709" w:footer="709" w:gutter="0"/>
          <w:cols w:num="2" w:space="227"/>
          <w:titlePg/>
          <w:docGrid w:linePitch="360"/>
        </w:sectPr>
      </w:pPr>
    </w:p>
    <w:p w:rsidR="00726816" w:rsidRDefault="00777619" w:rsidP="00726816">
      <w:pPr>
        <w:pStyle w:val="Legenda"/>
        <w:keepNext/>
        <w:ind w:firstLine="425"/>
        <w:jc w:val="both"/>
        <w:rPr>
          <w:color w:val="000000"/>
        </w:rPr>
      </w:pPr>
      <w:r>
        <w:rPr>
          <w:noProof/>
          <w:color w:val="000000" w:themeColor="text1"/>
        </w:rPr>
        <w:lastRenderedPageBreak/>
        <w:drawing>
          <wp:anchor distT="0" distB="0" distL="114300" distR="114300" simplePos="0" relativeHeight="251669504" behindDoc="1" locked="0" layoutInCell="1" allowOverlap="1" wp14:anchorId="62A45480" wp14:editId="554A94A8">
            <wp:simplePos x="0" y="0"/>
            <wp:positionH relativeFrom="margin">
              <wp:align>center</wp:align>
            </wp:positionH>
            <wp:positionV relativeFrom="paragraph">
              <wp:posOffset>53975</wp:posOffset>
            </wp:positionV>
            <wp:extent cx="5284470" cy="329819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3052" cy="3297600"/>
                    </a:xfrm>
                    <a:prstGeom prst="rect">
                      <a:avLst/>
                    </a:prstGeom>
                    <a:noFill/>
                  </pic:spPr>
                </pic:pic>
              </a:graphicData>
            </a:graphic>
            <wp14:sizeRelH relativeFrom="page">
              <wp14:pctWidth>0</wp14:pctWidth>
            </wp14:sizeRelH>
            <wp14:sizeRelV relativeFrom="page">
              <wp14:pctHeight>0</wp14:pctHeight>
            </wp14:sizeRelV>
          </wp:anchor>
        </w:drawing>
      </w: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26816">
      <w:pPr>
        <w:pStyle w:val="Legenda"/>
        <w:ind w:left="425" w:hanging="425"/>
        <w:jc w:val="both"/>
        <w:outlineLvl w:val="2"/>
        <w:rPr>
          <w:color w:val="000000" w:themeColor="text1"/>
        </w:rPr>
      </w:pPr>
    </w:p>
    <w:p w:rsidR="00726816" w:rsidRDefault="00726816" w:rsidP="00777619">
      <w:pPr>
        <w:pStyle w:val="Legenda"/>
        <w:jc w:val="both"/>
        <w:outlineLvl w:val="2"/>
        <w:rPr>
          <w:color w:val="000000" w:themeColor="text1"/>
        </w:rPr>
      </w:pPr>
    </w:p>
    <w:p w:rsidR="00726816" w:rsidRDefault="00726816" w:rsidP="00726816">
      <w:pPr>
        <w:pStyle w:val="Legenda"/>
        <w:ind w:left="425" w:hanging="425"/>
        <w:jc w:val="both"/>
        <w:outlineLvl w:val="2"/>
        <w:rPr>
          <w:b w:val="0"/>
          <w:color w:val="000000" w:themeColor="text1"/>
        </w:rPr>
      </w:pPr>
      <w:r w:rsidRPr="001E5B7E">
        <w:rPr>
          <w:color w:val="000000" w:themeColor="text1"/>
        </w:rPr>
        <w:t xml:space="preserve">Figura </w:t>
      </w:r>
      <w:r>
        <w:rPr>
          <w:color w:val="000000" w:themeColor="text1"/>
        </w:rPr>
        <w:t>3</w:t>
      </w:r>
      <w:r w:rsidRPr="001E5B7E">
        <w:rPr>
          <w:color w:val="000000" w:themeColor="text1"/>
        </w:rPr>
        <w:t>.</w:t>
      </w:r>
      <w:r w:rsidRPr="001E5B7E">
        <w:rPr>
          <w:b w:val="0"/>
          <w:color w:val="000000" w:themeColor="text1"/>
        </w:rPr>
        <w:t xml:space="preserve"> </w:t>
      </w:r>
      <w:r w:rsidRPr="00726816">
        <w:rPr>
          <w:b w:val="0"/>
          <w:color w:val="000000"/>
        </w:rPr>
        <w:t xml:space="preserve">Evolução dos preços reais do feijão seco na CEASA – CE (Sede Maracanaú) no período de janeiro de 2005 </w:t>
      </w:r>
      <w:proofErr w:type="gramStart"/>
      <w:r w:rsidRPr="00726816">
        <w:rPr>
          <w:b w:val="0"/>
          <w:color w:val="000000"/>
        </w:rPr>
        <w:t>à</w:t>
      </w:r>
      <w:proofErr w:type="gramEnd"/>
      <w:r w:rsidRPr="00726816">
        <w:rPr>
          <w:b w:val="0"/>
          <w:color w:val="000000"/>
        </w:rPr>
        <w:t xml:space="preserve"> dezembro de  2014.</w:t>
      </w:r>
    </w:p>
    <w:p w:rsidR="00726816" w:rsidRPr="00E924A5" w:rsidRDefault="00726816" w:rsidP="00726816">
      <w:pPr>
        <w:spacing w:after="0"/>
        <w:jc w:val="both"/>
        <w:rPr>
          <w:rFonts w:ascii="Times New Roman" w:hAnsi="Times New Roman" w:cs="Times New Roman"/>
          <w:color w:val="000000"/>
          <w:sz w:val="16"/>
          <w:szCs w:val="16"/>
        </w:rPr>
      </w:pPr>
    </w:p>
    <w:p w:rsidR="00726816" w:rsidRDefault="00726816" w:rsidP="00726816">
      <w:pPr>
        <w:pStyle w:val="CorpodoresumoIVCBM"/>
        <w:spacing w:after="0" w:line="240" w:lineRule="auto"/>
        <w:ind w:firstLine="425"/>
        <w:rPr>
          <w:rFonts w:ascii="Times New Roman" w:hAnsi="Times New Roman"/>
          <w:sz w:val="20"/>
          <w:szCs w:val="20"/>
        </w:rPr>
        <w:sectPr w:rsidR="00726816" w:rsidSect="00D56962">
          <w:type w:val="continuous"/>
          <w:pgSz w:w="11906" w:h="16838"/>
          <w:pgMar w:top="1134" w:right="851" w:bottom="1134" w:left="851" w:header="709" w:footer="709" w:gutter="0"/>
          <w:cols w:space="227"/>
          <w:titlePg/>
          <w:docGrid w:linePitch="360"/>
        </w:sectPr>
      </w:pPr>
    </w:p>
    <w:p w:rsidR="00753E9C" w:rsidRPr="00753E9C" w:rsidRDefault="00753E9C" w:rsidP="00753E9C">
      <w:pPr>
        <w:pStyle w:val="CorpodoresumoIVCBM"/>
        <w:spacing w:after="0" w:line="240" w:lineRule="auto"/>
        <w:ind w:firstLine="425"/>
        <w:rPr>
          <w:rFonts w:ascii="Times New Roman" w:hAnsi="Times New Roman"/>
          <w:sz w:val="20"/>
          <w:szCs w:val="20"/>
        </w:rPr>
      </w:pPr>
      <w:r w:rsidRPr="00753E9C">
        <w:rPr>
          <w:rFonts w:ascii="Times New Roman" w:hAnsi="Times New Roman"/>
          <w:sz w:val="20"/>
          <w:szCs w:val="20"/>
        </w:rPr>
        <w:lastRenderedPageBreak/>
        <w:t xml:space="preserve">De maneira semelhante ao que se verificou no produto feijão verde, efeitos climáticos </w:t>
      </w:r>
      <w:proofErr w:type="gramStart"/>
      <w:r w:rsidRPr="00753E9C">
        <w:rPr>
          <w:rFonts w:ascii="Times New Roman" w:hAnsi="Times New Roman"/>
          <w:sz w:val="20"/>
          <w:szCs w:val="20"/>
        </w:rPr>
        <w:t>podem ser</w:t>
      </w:r>
      <w:proofErr w:type="gramEnd"/>
      <w:r w:rsidRPr="00753E9C">
        <w:rPr>
          <w:rFonts w:ascii="Times New Roman" w:hAnsi="Times New Roman"/>
          <w:sz w:val="20"/>
          <w:szCs w:val="20"/>
        </w:rPr>
        <w:t xml:space="preserve"> fator de importância para a ocorrência dessa oscilação de preços observada. Estes efeitos possuem grande influência na produção agrícola de forma geral, atuando de maneira ainda mais significativa quando se </w:t>
      </w:r>
      <w:proofErr w:type="gramStart"/>
      <w:r w:rsidRPr="00753E9C">
        <w:rPr>
          <w:rFonts w:ascii="Times New Roman" w:hAnsi="Times New Roman"/>
          <w:sz w:val="20"/>
          <w:szCs w:val="20"/>
        </w:rPr>
        <w:t>trata</w:t>
      </w:r>
      <w:proofErr w:type="gramEnd"/>
      <w:r w:rsidRPr="00753E9C">
        <w:rPr>
          <w:rFonts w:ascii="Times New Roman" w:hAnsi="Times New Roman"/>
          <w:sz w:val="20"/>
          <w:szCs w:val="20"/>
        </w:rPr>
        <w:t xml:space="preserve"> de culturas de subsistência como milho e feijão, ambos analisados neste trabalho.</w:t>
      </w:r>
    </w:p>
    <w:p w:rsidR="00726816" w:rsidRDefault="003A46E4" w:rsidP="00753E9C">
      <w:pPr>
        <w:pStyle w:val="CorpodoresumoIVCBM"/>
        <w:spacing w:after="0" w:line="240" w:lineRule="auto"/>
        <w:ind w:firstLine="425"/>
        <w:rPr>
          <w:rFonts w:ascii="Times New Roman" w:hAnsi="Times New Roman"/>
          <w:sz w:val="20"/>
          <w:szCs w:val="20"/>
        </w:rPr>
      </w:pPr>
      <w:r>
        <w:rPr>
          <w:rFonts w:ascii="Times New Roman" w:hAnsi="Times New Roman"/>
          <w:noProof/>
          <w:sz w:val="20"/>
          <w:szCs w:val="20"/>
        </w:rPr>
        <w:drawing>
          <wp:anchor distT="0" distB="0" distL="114300" distR="114300" simplePos="0" relativeHeight="251670528" behindDoc="1" locked="0" layoutInCell="1" allowOverlap="1" wp14:anchorId="1A7B3497" wp14:editId="039D4140">
            <wp:simplePos x="0" y="0"/>
            <wp:positionH relativeFrom="column">
              <wp:posOffset>-106984</wp:posOffset>
            </wp:positionH>
            <wp:positionV relativeFrom="paragraph">
              <wp:posOffset>1160145</wp:posOffset>
            </wp:positionV>
            <wp:extent cx="3272155" cy="1918970"/>
            <wp:effectExtent l="0" t="0" r="4445" b="508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2155" cy="1918970"/>
                    </a:xfrm>
                    <a:prstGeom prst="rect">
                      <a:avLst/>
                    </a:prstGeom>
                    <a:noFill/>
                  </pic:spPr>
                </pic:pic>
              </a:graphicData>
            </a:graphic>
            <wp14:sizeRelH relativeFrom="page">
              <wp14:pctWidth>0</wp14:pctWidth>
            </wp14:sizeRelH>
            <wp14:sizeRelV relativeFrom="page">
              <wp14:pctHeight>0</wp14:pctHeight>
            </wp14:sizeRelV>
          </wp:anchor>
        </w:drawing>
      </w:r>
      <w:r w:rsidR="00753E9C" w:rsidRPr="00753E9C">
        <w:rPr>
          <w:rFonts w:ascii="Times New Roman" w:hAnsi="Times New Roman"/>
          <w:sz w:val="20"/>
          <w:szCs w:val="20"/>
        </w:rPr>
        <w:t xml:space="preserve">A figura 4 a seguir apresenta os índices estacionais de preços (IEP), note que ao longo do ano este índice oscila de maneira significativa. Observe que no período de outubro </w:t>
      </w:r>
      <w:proofErr w:type="gramStart"/>
      <w:r w:rsidR="00753E9C" w:rsidRPr="00753E9C">
        <w:rPr>
          <w:rFonts w:ascii="Times New Roman" w:hAnsi="Times New Roman"/>
          <w:sz w:val="20"/>
          <w:szCs w:val="20"/>
        </w:rPr>
        <w:t>à</w:t>
      </w:r>
      <w:proofErr w:type="gramEnd"/>
      <w:r w:rsidR="00753E9C" w:rsidRPr="00753E9C">
        <w:rPr>
          <w:rFonts w:ascii="Times New Roman" w:hAnsi="Times New Roman"/>
          <w:sz w:val="20"/>
          <w:szCs w:val="20"/>
        </w:rPr>
        <w:t xml:space="preserve"> abril ocorrem os maiores índices estacionais de preços, correspondendo, portanto, ao período de entressafra. No período de maio </w:t>
      </w:r>
      <w:proofErr w:type="gramStart"/>
      <w:r w:rsidR="00753E9C" w:rsidRPr="00753E9C">
        <w:rPr>
          <w:rFonts w:ascii="Times New Roman" w:hAnsi="Times New Roman"/>
          <w:sz w:val="20"/>
          <w:szCs w:val="20"/>
        </w:rPr>
        <w:t>à</w:t>
      </w:r>
      <w:proofErr w:type="gramEnd"/>
      <w:r w:rsidR="00753E9C" w:rsidRPr="00753E9C">
        <w:rPr>
          <w:rFonts w:ascii="Times New Roman" w:hAnsi="Times New Roman"/>
          <w:sz w:val="20"/>
          <w:szCs w:val="20"/>
        </w:rPr>
        <w:t xml:space="preserve"> setembro, em contrapartida, ocorrem os menores índices, correspondendo ao período de </w:t>
      </w:r>
      <w:r w:rsidR="004824FB" w:rsidRPr="00753E9C">
        <w:rPr>
          <w:rFonts w:ascii="Times New Roman" w:hAnsi="Times New Roman"/>
          <w:sz w:val="20"/>
          <w:szCs w:val="20"/>
        </w:rPr>
        <w:t>safra. Os</w:t>
      </w:r>
      <w:r w:rsidR="00726816" w:rsidRPr="00753E9C">
        <w:rPr>
          <w:rFonts w:ascii="Times New Roman" w:hAnsi="Times New Roman"/>
          <w:sz w:val="20"/>
          <w:szCs w:val="20"/>
        </w:rPr>
        <w:t xml:space="preserve"> índices estacionais mantêm-se abaixo de 100. </w:t>
      </w:r>
    </w:p>
    <w:p w:rsidR="004824FB" w:rsidRDefault="004824FB" w:rsidP="004824FB">
      <w:pPr>
        <w:spacing w:after="0" w:line="240" w:lineRule="auto"/>
        <w:jc w:val="both"/>
        <w:rPr>
          <w:rFonts w:ascii="Times New Roman" w:hAnsi="Times New Roman"/>
          <w:sz w:val="20"/>
          <w:szCs w:val="20"/>
        </w:rPr>
      </w:pPr>
    </w:p>
    <w:p w:rsidR="004824FB" w:rsidRDefault="004824FB" w:rsidP="004824FB">
      <w:pPr>
        <w:spacing w:after="0" w:line="240" w:lineRule="auto"/>
        <w:jc w:val="both"/>
        <w:rPr>
          <w:rFonts w:ascii="Times New Roman" w:hAnsi="Times New Roman"/>
          <w:sz w:val="20"/>
          <w:szCs w:val="20"/>
        </w:rPr>
      </w:pPr>
    </w:p>
    <w:p w:rsidR="004824FB" w:rsidRDefault="004824FB" w:rsidP="004824FB">
      <w:pPr>
        <w:spacing w:after="0" w:line="240" w:lineRule="auto"/>
        <w:jc w:val="both"/>
        <w:rPr>
          <w:rFonts w:ascii="Times New Roman" w:hAnsi="Times New Roman"/>
          <w:sz w:val="20"/>
          <w:szCs w:val="20"/>
        </w:rPr>
      </w:pPr>
    </w:p>
    <w:p w:rsidR="004824FB" w:rsidRDefault="004824FB" w:rsidP="004824FB">
      <w:pPr>
        <w:spacing w:after="0" w:line="240" w:lineRule="auto"/>
        <w:jc w:val="both"/>
        <w:rPr>
          <w:rFonts w:ascii="Times New Roman" w:hAnsi="Times New Roman"/>
          <w:sz w:val="20"/>
          <w:szCs w:val="20"/>
        </w:rPr>
      </w:pPr>
    </w:p>
    <w:p w:rsidR="004824FB" w:rsidRDefault="004824FB" w:rsidP="004824FB">
      <w:pPr>
        <w:spacing w:after="0" w:line="240" w:lineRule="auto"/>
        <w:ind w:firstLine="425"/>
        <w:jc w:val="both"/>
        <w:rPr>
          <w:rFonts w:ascii="Times New Roman" w:hAnsi="Times New Roman"/>
          <w:sz w:val="20"/>
          <w:szCs w:val="20"/>
        </w:rPr>
      </w:pPr>
    </w:p>
    <w:p w:rsidR="003A46E4" w:rsidRDefault="003A46E4" w:rsidP="004824FB">
      <w:pPr>
        <w:spacing w:after="0" w:line="240" w:lineRule="auto"/>
        <w:ind w:firstLine="425"/>
        <w:jc w:val="both"/>
        <w:rPr>
          <w:rFonts w:ascii="Times New Roman" w:hAnsi="Times New Roman"/>
          <w:sz w:val="20"/>
          <w:szCs w:val="20"/>
        </w:rPr>
      </w:pPr>
    </w:p>
    <w:p w:rsidR="003A46E4" w:rsidRDefault="003A46E4" w:rsidP="004824FB">
      <w:pPr>
        <w:spacing w:after="0" w:line="240" w:lineRule="auto"/>
        <w:ind w:firstLine="425"/>
        <w:jc w:val="both"/>
        <w:rPr>
          <w:rFonts w:ascii="Times New Roman" w:hAnsi="Times New Roman"/>
          <w:sz w:val="20"/>
          <w:szCs w:val="20"/>
        </w:rPr>
      </w:pPr>
    </w:p>
    <w:p w:rsidR="003A46E4" w:rsidRDefault="003A46E4" w:rsidP="004824FB">
      <w:pPr>
        <w:spacing w:after="0" w:line="240" w:lineRule="auto"/>
        <w:ind w:firstLine="425"/>
        <w:jc w:val="both"/>
        <w:rPr>
          <w:rFonts w:ascii="Times New Roman" w:hAnsi="Times New Roman"/>
          <w:sz w:val="20"/>
          <w:szCs w:val="20"/>
        </w:rPr>
      </w:pPr>
    </w:p>
    <w:p w:rsidR="003A46E4" w:rsidRDefault="003A46E4" w:rsidP="004824FB">
      <w:pPr>
        <w:spacing w:after="0" w:line="240" w:lineRule="auto"/>
        <w:ind w:firstLine="425"/>
        <w:jc w:val="both"/>
        <w:rPr>
          <w:rFonts w:ascii="Times New Roman" w:hAnsi="Times New Roman"/>
          <w:sz w:val="20"/>
          <w:szCs w:val="20"/>
        </w:rPr>
      </w:pPr>
    </w:p>
    <w:p w:rsidR="004824FB" w:rsidRPr="00327973" w:rsidRDefault="004824FB" w:rsidP="004824FB">
      <w:pPr>
        <w:spacing w:after="0" w:line="240" w:lineRule="auto"/>
        <w:ind w:firstLine="425"/>
        <w:jc w:val="both"/>
        <w:rPr>
          <w:rFonts w:ascii="Times New Roman" w:hAnsi="Times New Roman"/>
          <w:sz w:val="20"/>
          <w:szCs w:val="20"/>
        </w:rPr>
      </w:pPr>
      <w:r w:rsidRPr="00327973">
        <w:rPr>
          <w:rFonts w:ascii="Times New Roman" w:hAnsi="Times New Roman"/>
          <w:sz w:val="20"/>
          <w:szCs w:val="20"/>
        </w:rPr>
        <w:lastRenderedPageBreak/>
        <w:t>A tabela 2 a seguir apresenta uma análise de estatística descritiva considerando os dados de IEP, os limites inferiores e limites superiores. Vale ressaltar que em relação ao feijão verde, o feijão seco possui uma variabilidade ligeiramente maior, apresentando um desvio padrão médio de 31,28 enquanto àquele apresenta um desvio de 25,81.</w:t>
      </w:r>
    </w:p>
    <w:p w:rsidR="004824FB" w:rsidRDefault="004824FB" w:rsidP="004824FB">
      <w:pPr>
        <w:spacing w:after="0" w:line="240" w:lineRule="auto"/>
        <w:jc w:val="both"/>
        <w:rPr>
          <w:rFonts w:ascii="Times New Roman" w:hAnsi="Times New Roman"/>
          <w:sz w:val="20"/>
          <w:szCs w:val="20"/>
        </w:rPr>
      </w:pPr>
    </w:p>
    <w:tbl>
      <w:tblPr>
        <w:tblpPr w:leftFromText="141" w:rightFromText="141" w:vertAnchor="text" w:horzAnchor="margin" w:tblpXSpec="right" w:tblpY="636"/>
        <w:tblW w:w="4531" w:type="dxa"/>
        <w:tblCellMar>
          <w:left w:w="70" w:type="dxa"/>
          <w:right w:w="70" w:type="dxa"/>
        </w:tblCellMar>
        <w:tblLook w:val="04A0" w:firstRow="1" w:lastRow="0" w:firstColumn="1" w:lastColumn="0" w:noHBand="0" w:noVBand="1"/>
      </w:tblPr>
      <w:tblGrid>
        <w:gridCol w:w="700"/>
        <w:gridCol w:w="806"/>
        <w:gridCol w:w="741"/>
        <w:gridCol w:w="888"/>
        <w:gridCol w:w="759"/>
        <w:gridCol w:w="637"/>
      </w:tblGrid>
      <w:tr w:rsidR="004824FB" w:rsidRPr="004824FB" w:rsidTr="003A46E4">
        <w:trPr>
          <w:trHeight w:val="292"/>
        </w:trPr>
        <w:tc>
          <w:tcPr>
            <w:tcW w:w="700" w:type="dxa"/>
            <w:tcBorders>
              <w:top w:val="single" w:sz="4" w:space="0" w:color="auto"/>
              <w:left w:val="nil"/>
              <w:bottom w:val="single" w:sz="8" w:space="0" w:color="auto"/>
              <w:right w:val="single" w:sz="4" w:space="0" w:color="auto"/>
            </w:tcBorders>
            <w:shd w:val="clear" w:color="000000" w:fill="D7E4BC"/>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Meses</w:t>
            </w:r>
          </w:p>
        </w:tc>
        <w:tc>
          <w:tcPr>
            <w:tcW w:w="806" w:type="dxa"/>
            <w:tcBorders>
              <w:top w:val="single" w:sz="4" w:space="0" w:color="auto"/>
              <w:left w:val="nil"/>
              <w:bottom w:val="single" w:sz="8" w:space="0" w:color="auto"/>
              <w:right w:val="single" w:sz="4" w:space="0" w:color="auto"/>
            </w:tcBorders>
            <w:shd w:val="clear" w:color="000000" w:fill="D7E4BC"/>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Limite Inferior</w:t>
            </w:r>
          </w:p>
        </w:tc>
        <w:tc>
          <w:tcPr>
            <w:tcW w:w="741" w:type="dxa"/>
            <w:tcBorders>
              <w:top w:val="single" w:sz="4" w:space="0" w:color="auto"/>
              <w:left w:val="nil"/>
              <w:bottom w:val="single" w:sz="8" w:space="0" w:color="auto"/>
              <w:right w:val="single" w:sz="4" w:space="0" w:color="auto"/>
            </w:tcBorders>
            <w:shd w:val="clear" w:color="000000" w:fill="D7E4BC"/>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IEP</w:t>
            </w:r>
          </w:p>
        </w:tc>
        <w:tc>
          <w:tcPr>
            <w:tcW w:w="888" w:type="dxa"/>
            <w:tcBorders>
              <w:top w:val="single" w:sz="4" w:space="0" w:color="auto"/>
              <w:left w:val="nil"/>
              <w:bottom w:val="single" w:sz="8" w:space="0" w:color="auto"/>
              <w:right w:val="single" w:sz="4" w:space="0" w:color="auto"/>
            </w:tcBorders>
            <w:shd w:val="clear" w:color="000000" w:fill="D7E4BC"/>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Limite Superior</w:t>
            </w:r>
          </w:p>
        </w:tc>
        <w:tc>
          <w:tcPr>
            <w:tcW w:w="759" w:type="dxa"/>
            <w:tcBorders>
              <w:top w:val="single" w:sz="4" w:space="0" w:color="auto"/>
              <w:left w:val="nil"/>
              <w:bottom w:val="single" w:sz="8" w:space="0" w:color="auto"/>
              <w:right w:val="single" w:sz="4" w:space="0" w:color="auto"/>
            </w:tcBorders>
            <w:shd w:val="clear" w:color="000000" w:fill="D7E4BC"/>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Desvio Padrão</w:t>
            </w:r>
          </w:p>
        </w:tc>
        <w:tc>
          <w:tcPr>
            <w:tcW w:w="637" w:type="dxa"/>
            <w:tcBorders>
              <w:top w:val="single" w:sz="4" w:space="0" w:color="auto"/>
              <w:left w:val="nil"/>
              <w:bottom w:val="single" w:sz="8" w:space="0" w:color="auto"/>
              <w:right w:val="nil"/>
            </w:tcBorders>
            <w:shd w:val="clear" w:color="000000" w:fill="D7E4BC"/>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CV%</w:t>
            </w:r>
          </w:p>
        </w:tc>
      </w:tr>
      <w:tr w:rsidR="004824FB" w:rsidRPr="004824FB" w:rsidTr="003A46E4">
        <w:trPr>
          <w:trHeight w:val="277"/>
        </w:trPr>
        <w:tc>
          <w:tcPr>
            <w:tcW w:w="700" w:type="dxa"/>
            <w:tcBorders>
              <w:top w:val="nil"/>
              <w:left w:val="nil"/>
              <w:bottom w:val="nil"/>
              <w:right w:val="single" w:sz="4" w:space="0" w:color="auto"/>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Jan</w:t>
            </w:r>
          </w:p>
        </w:tc>
        <w:tc>
          <w:tcPr>
            <w:tcW w:w="806"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104,84</w:t>
            </w:r>
          </w:p>
        </w:tc>
        <w:tc>
          <w:tcPr>
            <w:tcW w:w="741"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126,26</w:t>
            </w:r>
          </w:p>
        </w:tc>
        <w:tc>
          <w:tcPr>
            <w:tcW w:w="888"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158,94</w:t>
            </w:r>
          </w:p>
        </w:tc>
        <w:tc>
          <w:tcPr>
            <w:tcW w:w="759"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27,25</w:t>
            </w:r>
          </w:p>
        </w:tc>
        <w:tc>
          <w:tcPr>
            <w:tcW w:w="637"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20,96</w:t>
            </w:r>
          </w:p>
        </w:tc>
      </w:tr>
      <w:tr w:rsidR="004824FB" w:rsidRPr="004824FB" w:rsidTr="003A46E4">
        <w:trPr>
          <w:trHeight w:val="277"/>
        </w:trPr>
        <w:tc>
          <w:tcPr>
            <w:tcW w:w="700" w:type="dxa"/>
            <w:tcBorders>
              <w:top w:val="nil"/>
              <w:left w:val="nil"/>
              <w:bottom w:val="nil"/>
              <w:right w:val="single" w:sz="4" w:space="0" w:color="auto"/>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proofErr w:type="spellStart"/>
            <w:r w:rsidRPr="004824FB">
              <w:rPr>
                <w:rFonts w:ascii="Times New Roman" w:eastAsia="Times New Roman" w:hAnsi="Times New Roman" w:cs="Times New Roman"/>
                <w:color w:val="000000"/>
                <w:sz w:val="18"/>
                <w:szCs w:val="18"/>
                <w:lang w:eastAsia="pt-BR"/>
              </w:rPr>
              <w:t>Fev</w:t>
            </w:r>
            <w:proofErr w:type="spellEnd"/>
          </w:p>
        </w:tc>
        <w:tc>
          <w:tcPr>
            <w:tcW w:w="806"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64,12</w:t>
            </w:r>
          </w:p>
        </w:tc>
        <w:tc>
          <w:tcPr>
            <w:tcW w:w="741"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116,23</w:t>
            </w:r>
          </w:p>
        </w:tc>
        <w:tc>
          <w:tcPr>
            <w:tcW w:w="888"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182,75</w:t>
            </w:r>
          </w:p>
        </w:tc>
        <w:tc>
          <w:tcPr>
            <w:tcW w:w="759"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59,46</w:t>
            </w:r>
          </w:p>
        </w:tc>
        <w:tc>
          <w:tcPr>
            <w:tcW w:w="637"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49,13</w:t>
            </w:r>
          </w:p>
        </w:tc>
      </w:tr>
      <w:tr w:rsidR="004824FB" w:rsidRPr="004824FB" w:rsidTr="003A46E4">
        <w:trPr>
          <w:trHeight w:val="277"/>
        </w:trPr>
        <w:tc>
          <w:tcPr>
            <w:tcW w:w="700" w:type="dxa"/>
            <w:tcBorders>
              <w:top w:val="nil"/>
              <w:left w:val="nil"/>
              <w:bottom w:val="nil"/>
              <w:right w:val="single" w:sz="4" w:space="0" w:color="auto"/>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Mar</w:t>
            </w:r>
          </w:p>
        </w:tc>
        <w:tc>
          <w:tcPr>
            <w:tcW w:w="806"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72,24</w:t>
            </w:r>
          </w:p>
        </w:tc>
        <w:tc>
          <w:tcPr>
            <w:tcW w:w="741"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108,65</w:t>
            </w:r>
          </w:p>
        </w:tc>
        <w:tc>
          <w:tcPr>
            <w:tcW w:w="888"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156,77</w:t>
            </w:r>
          </w:p>
        </w:tc>
        <w:tc>
          <w:tcPr>
            <w:tcW w:w="759"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42,40</w:t>
            </w:r>
          </w:p>
        </w:tc>
        <w:tc>
          <w:tcPr>
            <w:tcW w:w="637"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37,67</w:t>
            </w:r>
          </w:p>
        </w:tc>
      </w:tr>
      <w:tr w:rsidR="004824FB" w:rsidRPr="004824FB" w:rsidTr="003A46E4">
        <w:trPr>
          <w:trHeight w:val="277"/>
        </w:trPr>
        <w:tc>
          <w:tcPr>
            <w:tcW w:w="700" w:type="dxa"/>
            <w:tcBorders>
              <w:top w:val="nil"/>
              <w:left w:val="nil"/>
              <w:bottom w:val="nil"/>
              <w:right w:val="single" w:sz="4" w:space="0" w:color="auto"/>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proofErr w:type="spellStart"/>
            <w:r w:rsidRPr="004824FB">
              <w:rPr>
                <w:rFonts w:ascii="Times New Roman" w:eastAsia="Times New Roman" w:hAnsi="Times New Roman" w:cs="Times New Roman"/>
                <w:color w:val="000000"/>
                <w:sz w:val="18"/>
                <w:szCs w:val="18"/>
                <w:lang w:eastAsia="pt-BR"/>
              </w:rPr>
              <w:t>Abr</w:t>
            </w:r>
            <w:proofErr w:type="spellEnd"/>
          </w:p>
        </w:tc>
        <w:tc>
          <w:tcPr>
            <w:tcW w:w="806"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75,92</w:t>
            </w:r>
          </w:p>
        </w:tc>
        <w:tc>
          <w:tcPr>
            <w:tcW w:w="741"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121,97</w:t>
            </w:r>
          </w:p>
        </w:tc>
        <w:tc>
          <w:tcPr>
            <w:tcW w:w="888"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164,29</w:t>
            </w:r>
          </w:p>
        </w:tc>
        <w:tc>
          <w:tcPr>
            <w:tcW w:w="759"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44,20</w:t>
            </w:r>
          </w:p>
        </w:tc>
        <w:tc>
          <w:tcPr>
            <w:tcW w:w="637"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36,61</w:t>
            </w:r>
          </w:p>
        </w:tc>
      </w:tr>
      <w:tr w:rsidR="004824FB" w:rsidRPr="004824FB" w:rsidTr="003A46E4">
        <w:trPr>
          <w:trHeight w:val="277"/>
        </w:trPr>
        <w:tc>
          <w:tcPr>
            <w:tcW w:w="700" w:type="dxa"/>
            <w:tcBorders>
              <w:top w:val="nil"/>
              <w:left w:val="nil"/>
              <w:bottom w:val="nil"/>
              <w:right w:val="single" w:sz="4" w:space="0" w:color="auto"/>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Mai</w:t>
            </w:r>
          </w:p>
        </w:tc>
        <w:tc>
          <w:tcPr>
            <w:tcW w:w="806"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66,40</w:t>
            </w:r>
          </w:p>
        </w:tc>
        <w:tc>
          <w:tcPr>
            <w:tcW w:w="741"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87,48</w:t>
            </w:r>
          </w:p>
        </w:tc>
        <w:tc>
          <w:tcPr>
            <w:tcW w:w="888"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122,73</w:t>
            </w:r>
          </w:p>
        </w:tc>
        <w:tc>
          <w:tcPr>
            <w:tcW w:w="759"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28,46</w:t>
            </w:r>
          </w:p>
        </w:tc>
        <w:tc>
          <w:tcPr>
            <w:tcW w:w="637"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30,87</w:t>
            </w:r>
          </w:p>
        </w:tc>
      </w:tr>
      <w:tr w:rsidR="004824FB" w:rsidRPr="004824FB" w:rsidTr="003A46E4">
        <w:trPr>
          <w:trHeight w:val="277"/>
        </w:trPr>
        <w:tc>
          <w:tcPr>
            <w:tcW w:w="700" w:type="dxa"/>
            <w:tcBorders>
              <w:top w:val="nil"/>
              <w:left w:val="nil"/>
              <w:bottom w:val="nil"/>
              <w:right w:val="single" w:sz="4" w:space="0" w:color="auto"/>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proofErr w:type="spellStart"/>
            <w:r w:rsidRPr="004824FB">
              <w:rPr>
                <w:rFonts w:ascii="Times New Roman" w:eastAsia="Times New Roman" w:hAnsi="Times New Roman" w:cs="Times New Roman"/>
                <w:color w:val="000000"/>
                <w:sz w:val="18"/>
                <w:szCs w:val="18"/>
                <w:lang w:eastAsia="pt-BR"/>
              </w:rPr>
              <w:t>Jun</w:t>
            </w:r>
            <w:proofErr w:type="spellEnd"/>
          </w:p>
        </w:tc>
        <w:tc>
          <w:tcPr>
            <w:tcW w:w="806"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53,04</w:t>
            </w:r>
          </w:p>
        </w:tc>
        <w:tc>
          <w:tcPr>
            <w:tcW w:w="741"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67,88</w:t>
            </w:r>
          </w:p>
        </w:tc>
        <w:tc>
          <w:tcPr>
            <w:tcW w:w="888"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80,33</w:t>
            </w:r>
          </w:p>
        </w:tc>
        <w:tc>
          <w:tcPr>
            <w:tcW w:w="759"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13,66</w:t>
            </w:r>
          </w:p>
        </w:tc>
        <w:tc>
          <w:tcPr>
            <w:tcW w:w="637"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20,37</w:t>
            </w:r>
          </w:p>
        </w:tc>
      </w:tr>
      <w:tr w:rsidR="004824FB" w:rsidRPr="004824FB" w:rsidTr="003A46E4">
        <w:trPr>
          <w:trHeight w:val="277"/>
        </w:trPr>
        <w:tc>
          <w:tcPr>
            <w:tcW w:w="700" w:type="dxa"/>
            <w:tcBorders>
              <w:top w:val="nil"/>
              <w:left w:val="nil"/>
              <w:bottom w:val="nil"/>
              <w:right w:val="single" w:sz="4" w:space="0" w:color="auto"/>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proofErr w:type="spellStart"/>
            <w:r w:rsidRPr="004824FB">
              <w:rPr>
                <w:rFonts w:ascii="Times New Roman" w:eastAsia="Times New Roman" w:hAnsi="Times New Roman" w:cs="Times New Roman"/>
                <w:color w:val="000000"/>
                <w:sz w:val="18"/>
                <w:szCs w:val="18"/>
                <w:lang w:eastAsia="pt-BR"/>
              </w:rPr>
              <w:t>Jul</w:t>
            </w:r>
            <w:proofErr w:type="spellEnd"/>
          </w:p>
        </w:tc>
        <w:tc>
          <w:tcPr>
            <w:tcW w:w="806"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50,94</w:t>
            </w:r>
          </w:p>
        </w:tc>
        <w:tc>
          <w:tcPr>
            <w:tcW w:w="741"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73,65</w:t>
            </w:r>
          </w:p>
        </w:tc>
        <w:tc>
          <w:tcPr>
            <w:tcW w:w="888"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87,00</w:t>
            </w:r>
          </w:p>
        </w:tc>
        <w:tc>
          <w:tcPr>
            <w:tcW w:w="759"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18,23</w:t>
            </w:r>
          </w:p>
        </w:tc>
        <w:tc>
          <w:tcPr>
            <w:tcW w:w="637"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25,85</w:t>
            </w:r>
          </w:p>
        </w:tc>
      </w:tr>
      <w:tr w:rsidR="004824FB" w:rsidRPr="004824FB" w:rsidTr="003A46E4">
        <w:trPr>
          <w:trHeight w:val="277"/>
        </w:trPr>
        <w:tc>
          <w:tcPr>
            <w:tcW w:w="700" w:type="dxa"/>
            <w:tcBorders>
              <w:top w:val="nil"/>
              <w:left w:val="nil"/>
              <w:bottom w:val="nil"/>
              <w:right w:val="single" w:sz="4" w:space="0" w:color="auto"/>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proofErr w:type="spellStart"/>
            <w:r w:rsidRPr="004824FB">
              <w:rPr>
                <w:rFonts w:ascii="Times New Roman" w:eastAsia="Times New Roman" w:hAnsi="Times New Roman" w:cs="Times New Roman"/>
                <w:color w:val="000000"/>
                <w:sz w:val="18"/>
                <w:szCs w:val="18"/>
                <w:lang w:eastAsia="pt-BR"/>
              </w:rPr>
              <w:t>Ago</w:t>
            </w:r>
            <w:proofErr w:type="spellEnd"/>
          </w:p>
        </w:tc>
        <w:tc>
          <w:tcPr>
            <w:tcW w:w="806"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51,14</w:t>
            </w:r>
          </w:p>
        </w:tc>
        <w:tc>
          <w:tcPr>
            <w:tcW w:w="741"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78,63</w:t>
            </w:r>
          </w:p>
        </w:tc>
        <w:tc>
          <w:tcPr>
            <w:tcW w:w="888"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102,45</w:t>
            </w:r>
          </w:p>
        </w:tc>
        <w:tc>
          <w:tcPr>
            <w:tcW w:w="759"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25,68</w:t>
            </w:r>
          </w:p>
        </w:tc>
        <w:tc>
          <w:tcPr>
            <w:tcW w:w="637"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33,17</w:t>
            </w:r>
          </w:p>
        </w:tc>
      </w:tr>
      <w:tr w:rsidR="004824FB" w:rsidRPr="004824FB" w:rsidTr="003A46E4">
        <w:trPr>
          <w:trHeight w:val="277"/>
        </w:trPr>
        <w:tc>
          <w:tcPr>
            <w:tcW w:w="700" w:type="dxa"/>
            <w:tcBorders>
              <w:top w:val="nil"/>
              <w:left w:val="nil"/>
              <w:bottom w:val="nil"/>
              <w:right w:val="single" w:sz="4" w:space="0" w:color="auto"/>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Set</w:t>
            </w:r>
          </w:p>
        </w:tc>
        <w:tc>
          <w:tcPr>
            <w:tcW w:w="806"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66,72</w:t>
            </w:r>
          </w:p>
        </w:tc>
        <w:tc>
          <w:tcPr>
            <w:tcW w:w="741"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91,21</w:t>
            </w:r>
          </w:p>
        </w:tc>
        <w:tc>
          <w:tcPr>
            <w:tcW w:w="888"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103,87</w:t>
            </w:r>
          </w:p>
        </w:tc>
        <w:tc>
          <w:tcPr>
            <w:tcW w:w="759"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18,89</w:t>
            </w:r>
          </w:p>
        </w:tc>
        <w:tc>
          <w:tcPr>
            <w:tcW w:w="637"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21,64</w:t>
            </w:r>
          </w:p>
        </w:tc>
      </w:tr>
      <w:tr w:rsidR="004824FB" w:rsidRPr="004824FB" w:rsidTr="003A46E4">
        <w:trPr>
          <w:trHeight w:val="277"/>
        </w:trPr>
        <w:tc>
          <w:tcPr>
            <w:tcW w:w="700" w:type="dxa"/>
            <w:tcBorders>
              <w:top w:val="nil"/>
              <w:left w:val="nil"/>
              <w:bottom w:val="nil"/>
              <w:right w:val="single" w:sz="4" w:space="0" w:color="auto"/>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Out</w:t>
            </w:r>
          </w:p>
        </w:tc>
        <w:tc>
          <w:tcPr>
            <w:tcW w:w="806"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81,68</w:t>
            </w:r>
          </w:p>
        </w:tc>
        <w:tc>
          <w:tcPr>
            <w:tcW w:w="741"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97,56</w:t>
            </w:r>
          </w:p>
        </w:tc>
        <w:tc>
          <w:tcPr>
            <w:tcW w:w="888"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150,30</w:t>
            </w:r>
          </w:p>
        </w:tc>
        <w:tc>
          <w:tcPr>
            <w:tcW w:w="759"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35,92</w:t>
            </w:r>
          </w:p>
        </w:tc>
        <w:tc>
          <w:tcPr>
            <w:tcW w:w="637"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32,70</w:t>
            </w:r>
          </w:p>
        </w:tc>
      </w:tr>
      <w:tr w:rsidR="004824FB" w:rsidRPr="004824FB" w:rsidTr="003A46E4">
        <w:trPr>
          <w:trHeight w:val="277"/>
        </w:trPr>
        <w:tc>
          <w:tcPr>
            <w:tcW w:w="700" w:type="dxa"/>
            <w:tcBorders>
              <w:top w:val="nil"/>
              <w:left w:val="nil"/>
              <w:bottom w:val="nil"/>
              <w:right w:val="single" w:sz="4" w:space="0" w:color="auto"/>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proofErr w:type="spellStart"/>
            <w:r w:rsidRPr="004824FB">
              <w:rPr>
                <w:rFonts w:ascii="Times New Roman" w:eastAsia="Times New Roman" w:hAnsi="Times New Roman" w:cs="Times New Roman"/>
                <w:color w:val="000000"/>
                <w:sz w:val="18"/>
                <w:szCs w:val="18"/>
                <w:lang w:eastAsia="pt-BR"/>
              </w:rPr>
              <w:t>Nov</w:t>
            </w:r>
            <w:proofErr w:type="spellEnd"/>
          </w:p>
        </w:tc>
        <w:tc>
          <w:tcPr>
            <w:tcW w:w="806"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85,93</w:t>
            </w:r>
          </w:p>
        </w:tc>
        <w:tc>
          <w:tcPr>
            <w:tcW w:w="741"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108,51</w:t>
            </w:r>
          </w:p>
        </w:tc>
        <w:tc>
          <w:tcPr>
            <w:tcW w:w="888"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150,05</w:t>
            </w:r>
          </w:p>
        </w:tc>
        <w:tc>
          <w:tcPr>
            <w:tcW w:w="759"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32,52</w:t>
            </w:r>
          </w:p>
        </w:tc>
        <w:tc>
          <w:tcPr>
            <w:tcW w:w="637" w:type="dxa"/>
            <w:tcBorders>
              <w:top w:val="nil"/>
              <w:left w:val="nil"/>
              <w:bottom w:val="nil"/>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28,32</w:t>
            </w:r>
          </w:p>
        </w:tc>
      </w:tr>
      <w:tr w:rsidR="004824FB" w:rsidRPr="004824FB" w:rsidTr="003A46E4">
        <w:trPr>
          <w:trHeight w:val="292"/>
        </w:trPr>
        <w:tc>
          <w:tcPr>
            <w:tcW w:w="700" w:type="dxa"/>
            <w:tcBorders>
              <w:top w:val="nil"/>
              <w:left w:val="nil"/>
              <w:bottom w:val="single" w:sz="8" w:space="0" w:color="auto"/>
              <w:right w:val="single" w:sz="4" w:space="0" w:color="auto"/>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Dez</w:t>
            </w:r>
          </w:p>
        </w:tc>
        <w:tc>
          <w:tcPr>
            <w:tcW w:w="806" w:type="dxa"/>
            <w:tcBorders>
              <w:top w:val="nil"/>
              <w:left w:val="nil"/>
              <w:bottom w:val="single" w:sz="8" w:space="0" w:color="auto"/>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102,80</w:t>
            </w:r>
          </w:p>
        </w:tc>
        <w:tc>
          <w:tcPr>
            <w:tcW w:w="741" w:type="dxa"/>
            <w:tcBorders>
              <w:top w:val="nil"/>
              <w:left w:val="nil"/>
              <w:bottom w:val="single" w:sz="8" w:space="0" w:color="auto"/>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123,81</w:t>
            </w:r>
          </w:p>
        </w:tc>
        <w:tc>
          <w:tcPr>
            <w:tcW w:w="888" w:type="dxa"/>
            <w:tcBorders>
              <w:top w:val="nil"/>
              <w:left w:val="nil"/>
              <w:bottom w:val="single" w:sz="8" w:space="0" w:color="auto"/>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159,46</w:t>
            </w:r>
          </w:p>
        </w:tc>
        <w:tc>
          <w:tcPr>
            <w:tcW w:w="759" w:type="dxa"/>
            <w:tcBorders>
              <w:top w:val="nil"/>
              <w:left w:val="nil"/>
              <w:bottom w:val="single" w:sz="8" w:space="0" w:color="auto"/>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28,64</w:t>
            </w:r>
          </w:p>
        </w:tc>
        <w:tc>
          <w:tcPr>
            <w:tcW w:w="637" w:type="dxa"/>
            <w:tcBorders>
              <w:top w:val="nil"/>
              <w:left w:val="nil"/>
              <w:bottom w:val="single" w:sz="8" w:space="0" w:color="auto"/>
              <w:right w:val="nil"/>
            </w:tcBorders>
            <w:shd w:val="clear" w:color="auto" w:fill="auto"/>
            <w:noWrap/>
            <w:vAlign w:val="bottom"/>
            <w:hideMark/>
          </w:tcPr>
          <w:p w:rsidR="004824FB" w:rsidRPr="004824FB" w:rsidRDefault="004824FB" w:rsidP="003C6F55">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22,26</w:t>
            </w:r>
          </w:p>
        </w:tc>
      </w:tr>
    </w:tbl>
    <w:p w:rsidR="005C166B" w:rsidRDefault="005C166B" w:rsidP="005C166B">
      <w:pPr>
        <w:spacing w:after="0" w:line="240" w:lineRule="auto"/>
        <w:jc w:val="both"/>
        <w:rPr>
          <w:rFonts w:ascii="Times New Roman" w:hAnsi="Times New Roman"/>
          <w:sz w:val="20"/>
          <w:szCs w:val="20"/>
        </w:rPr>
      </w:pPr>
      <w:r w:rsidRPr="007A2031">
        <w:rPr>
          <w:rFonts w:ascii="Times New Roman" w:hAnsi="Times New Roman"/>
          <w:b/>
          <w:sz w:val="20"/>
          <w:szCs w:val="20"/>
        </w:rPr>
        <w:t xml:space="preserve">Tabela </w:t>
      </w:r>
      <w:r>
        <w:rPr>
          <w:rFonts w:ascii="Times New Roman" w:hAnsi="Times New Roman"/>
          <w:b/>
          <w:sz w:val="20"/>
          <w:szCs w:val="20"/>
        </w:rPr>
        <w:t>2</w:t>
      </w:r>
      <w:r w:rsidRPr="007A2031">
        <w:rPr>
          <w:rFonts w:ascii="Times New Roman" w:hAnsi="Times New Roman"/>
          <w:sz w:val="20"/>
          <w:szCs w:val="20"/>
        </w:rPr>
        <w:t xml:space="preserve"> </w:t>
      </w:r>
      <w:proofErr w:type="gramStart"/>
      <w:r w:rsidRPr="007A2031">
        <w:rPr>
          <w:rFonts w:ascii="Times New Roman" w:hAnsi="Times New Roman"/>
          <w:sz w:val="20"/>
          <w:szCs w:val="20"/>
        </w:rPr>
        <w:t>–Estatística</w:t>
      </w:r>
      <w:proofErr w:type="gramEnd"/>
      <w:r w:rsidRPr="007A2031">
        <w:rPr>
          <w:rFonts w:ascii="Times New Roman" w:hAnsi="Times New Roman"/>
          <w:sz w:val="20"/>
          <w:szCs w:val="20"/>
        </w:rPr>
        <w:t xml:space="preserve"> descritiva (considerando: IEP, limite superior e limite inferior)</w:t>
      </w:r>
    </w:p>
    <w:p w:rsidR="004824FB" w:rsidRDefault="004824FB" w:rsidP="004824FB">
      <w:pPr>
        <w:spacing w:after="0" w:line="240" w:lineRule="auto"/>
        <w:jc w:val="both"/>
        <w:rPr>
          <w:rFonts w:ascii="Times New Roman" w:hAnsi="Times New Roman"/>
          <w:sz w:val="20"/>
          <w:szCs w:val="20"/>
        </w:rPr>
      </w:pPr>
    </w:p>
    <w:p w:rsidR="004824FB" w:rsidRDefault="004824FB" w:rsidP="004824FB">
      <w:pPr>
        <w:spacing w:after="0" w:line="240" w:lineRule="auto"/>
        <w:jc w:val="both"/>
        <w:rPr>
          <w:rFonts w:ascii="Times New Roman" w:hAnsi="Times New Roman"/>
          <w:sz w:val="20"/>
          <w:szCs w:val="20"/>
        </w:rPr>
      </w:pPr>
    </w:p>
    <w:p w:rsidR="004824FB" w:rsidRDefault="004824FB" w:rsidP="004824FB">
      <w:pPr>
        <w:spacing w:after="0" w:line="240" w:lineRule="auto"/>
        <w:jc w:val="both"/>
        <w:rPr>
          <w:rFonts w:ascii="Times New Roman" w:hAnsi="Times New Roman"/>
          <w:sz w:val="20"/>
          <w:szCs w:val="20"/>
        </w:rPr>
      </w:pPr>
    </w:p>
    <w:p w:rsidR="004824FB" w:rsidRDefault="004824FB" w:rsidP="004824FB">
      <w:pPr>
        <w:spacing w:after="0" w:line="240" w:lineRule="auto"/>
        <w:jc w:val="both"/>
        <w:rPr>
          <w:rFonts w:ascii="Times New Roman" w:hAnsi="Times New Roman"/>
          <w:sz w:val="20"/>
          <w:szCs w:val="20"/>
        </w:rPr>
      </w:pPr>
    </w:p>
    <w:p w:rsidR="004824FB" w:rsidRDefault="004824FB" w:rsidP="004824FB">
      <w:pPr>
        <w:spacing w:after="0" w:line="240" w:lineRule="auto"/>
        <w:jc w:val="both"/>
        <w:rPr>
          <w:rFonts w:ascii="Times New Roman" w:hAnsi="Times New Roman"/>
          <w:sz w:val="20"/>
          <w:szCs w:val="20"/>
        </w:rPr>
      </w:pPr>
    </w:p>
    <w:p w:rsidR="004824FB" w:rsidRDefault="004824FB" w:rsidP="004824FB">
      <w:pPr>
        <w:spacing w:after="0" w:line="240" w:lineRule="auto"/>
        <w:jc w:val="both"/>
        <w:rPr>
          <w:rFonts w:ascii="Times New Roman" w:hAnsi="Times New Roman"/>
          <w:sz w:val="20"/>
          <w:szCs w:val="20"/>
        </w:rPr>
      </w:pPr>
    </w:p>
    <w:p w:rsidR="00726816" w:rsidRPr="00ED36BA" w:rsidRDefault="00726816" w:rsidP="00726816">
      <w:pPr>
        <w:spacing w:after="0" w:line="240" w:lineRule="auto"/>
        <w:jc w:val="both"/>
        <w:rPr>
          <w:rFonts w:ascii="Times New Roman" w:hAnsi="Times New Roman"/>
          <w:color w:val="FF0000"/>
          <w:sz w:val="20"/>
          <w:szCs w:val="20"/>
        </w:rPr>
        <w:sectPr w:rsidR="00726816" w:rsidRPr="00ED36BA" w:rsidSect="00D56962">
          <w:type w:val="continuous"/>
          <w:pgSz w:w="11906" w:h="16838"/>
          <w:pgMar w:top="1134" w:right="851" w:bottom="1134" w:left="851" w:header="709" w:footer="709" w:gutter="0"/>
          <w:cols w:num="2" w:space="227"/>
          <w:titlePg/>
          <w:docGrid w:linePitch="360"/>
        </w:sectPr>
      </w:pPr>
    </w:p>
    <w:p w:rsidR="00726816" w:rsidRPr="00ED36BA" w:rsidRDefault="00726816" w:rsidP="00726816">
      <w:pPr>
        <w:pStyle w:val="CorpodoresumoIVCBM"/>
        <w:spacing w:after="0" w:line="240" w:lineRule="auto"/>
        <w:ind w:firstLine="0"/>
        <w:rPr>
          <w:rFonts w:ascii="Times New Roman" w:hAnsi="Times New Roman"/>
          <w:color w:val="FF0000"/>
          <w:sz w:val="20"/>
          <w:szCs w:val="20"/>
        </w:rPr>
        <w:sectPr w:rsidR="00726816" w:rsidRPr="00ED36BA" w:rsidSect="00D56962">
          <w:type w:val="continuous"/>
          <w:pgSz w:w="11906" w:h="16838"/>
          <w:pgMar w:top="1134" w:right="851" w:bottom="1134" w:left="851" w:header="709" w:footer="709" w:gutter="0"/>
          <w:cols w:space="227"/>
          <w:titlePg/>
          <w:docGrid w:linePitch="360"/>
        </w:sectPr>
      </w:pPr>
    </w:p>
    <w:p w:rsidR="00777619" w:rsidRDefault="00777619" w:rsidP="00726816">
      <w:pPr>
        <w:pStyle w:val="Legenda"/>
        <w:jc w:val="both"/>
        <w:outlineLvl w:val="2"/>
        <w:rPr>
          <w:color w:val="FF0000"/>
        </w:rPr>
      </w:pPr>
    </w:p>
    <w:p w:rsidR="00777619" w:rsidRDefault="00777619" w:rsidP="00726816">
      <w:pPr>
        <w:pStyle w:val="Legenda"/>
        <w:jc w:val="both"/>
        <w:outlineLvl w:val="2"/>
        <w:rPr>
          <w:color w:val="FF0000"/>
        </w:rPr>
      </w:pPr>
    </w:p>
    <w:p w:rsidR="00777619" w:rsidRDefault="00777619" w:rsidP="00726816">
      <w:pPr>
        <w:pStyle w:val="Legenda"/>
        <w:jc w:val="both"/>
        <w:outlineLvl w:val="2"/>
        <w:rPr>
          <w:color w:val="FF0000"/>
        </w:rPr>
      </w:pPr>
    </w:p>
    <w:p w:rsidR="003A46E4" w:rsidRPr="00777619" w:rsidRDefault="003A46E4" w:rsidP="003A46E4">
      <w:pPr>
        <w:pStyle w:val="Legenda"/>
        <w:jc w:val="both"/>
        <w:outlineLvl w:val="2"/>
        <w:rPr>
          <w:b w:val="0"/>
        </w:rPr>
      </w:pPr>
      <w:r w:rsidRPr="00777619">
        <w:t>Figura 4.</w:t>
      </w:r>
      <w:r w:rsidRPr="00777619">
        <w:rPr>
          <w:b w:val="0"/>
        </w:rPr>
        <w:t xml:space="preserve"> Índices estacionais de Preços do feijão seco, na CEASA – CE.</w:t>
      </w:r>
    </w:p>
    <w:p w:rsidR="004824FB" w:rsidRDefault="004824FB" w:rsidP="004824FB">
      <w:pPr>
        <w:rPr>
          <w:lang w:eastAsia="pt-BR"/>
        </w:rPr>
      </w:pPr>
    </w:p>
    <w:p w:rsidR="004824FB" w:rsidRDefault="004824FB" w:rsidP="004824FB">
      <w:pPr>
        <w:rPr>
          <w:lang w:eastAsia="pt-BR"/>
        </w:rPr>
      </w:pPr>
    </w:p>
    <w:p w:rsidR="00B72C8C" w:rsidRPr="00E73459" w:rsidRDefault="00B72C8C" w:rsidP="00E73459">
      <w:pPr>
        <w:rPr>
          <w:lang w:eastAsia="pt-BR"/>
        </w:rPr>
        <w:sectPr w:rsidR="00B72C8C" w:rsidRPr="00E73459" w:rsidSect="00D56962">
          <w:headerReference w:type="even" r:id="rId23"/>
          <w:footerReference w:type="even" r:id="rId24"/>
          <w:headerReference w:type="first" r:id="rId25"/>
          <w:footerReference w:type="first" r:id="rId26"/>
          <w:type w:val="continuous"/>
          <w:pgSz w:w="11906" w:h="16838"/>
          <w:pgMar w:top="1134" w:right="851" w:bottom="1134" w:left="851" w:header="709" w:footer="709" w:gutter="0"/>
          <w:cols w:num="2" w:space="227"/>
          <w:titlePg/>
          <w:docGrid w:linePitch="360"/>
        </w:sectPr>
      </w:pPr>
    </w:p>
    <w:p w:rsidR="004824FB" w:rsidRDefault="004824FB" w:rsidP="003B6DEF">
      <w:pPr>
        <w:pStyle w:val="Legenda"/>
        <w:jc w:val="both"/>
        <w:outlineLvl w:val="2"/>
      </w:pPr>
    </w:p>
    <w:p w:rsidR="00D86DBA" w:rsidRDefault="00D86DBA" w:rsidP="00606381">
      <w:pPr>
        <w:pStyle w:val="Legenda"/>
        <w:ind w:firstLine="426"/>
        <w:jc w:val="both"/>
        <w:outlineLvl w:val="2"/>
        <w:rPr>
          <w:b w:val="0"/>
        </w:rPr>
      </w:pPr>
    </w:p>
    <w:p w:rsidR="00D86DBA" w:rsidRDefault="00D86DBA" w:rsidP="00D86DBA">
      <w:pPr>
        <w:pStyle w:val="Legenda"/>
        <w:jc w:val="both"/>
        <w:outlineLvl w:val="2"/>
      </w:pPr>
      <w:r>
        <w:lastRenderedPageBreak/>
        <w:t>Milho verde</w:t>
      </w:r>
    </w:p>
    <w:p w:rsidR="00D86DBA" w:rsidRDefault="00D86DBA" w:rsidP="00606381">
      <w:pPr>
        <w:pStyle w:val="Legenda"/>
        <w:ind w:firstLine="426"/>
        <w:jc w:val="both"/>
        <w:outlineLvl w:val="2"/>
        <w:rPr>
          <w:b w:val="0"/>
        </w:rPr>
      </w:pPr>
    </w:p>
    <w:p w:rsidR="004824FB" w:rsidRPr="00606381" w:rsidRDefault="00606381" w:rsidP="00606381">
      <w:pPr>
        <w:pStyle w:val="Legenda"/>
        <w:ind w:firstLine="426"/>
        <w:jc w:val="both"/>
        <w:outlineLvl w:val="2"/>
        <w:rPr>
          <w:b w:val="0"/>
        </w:rPr>
      </w:pPr>
      <w:r w:rsidRPr="00606381">
        <w:rPr>
          <w:b w:val="0"/>
        </w:rPr>
        <w:t xml:space="preserve">A figura 3 a seguir apresenta a evolução dos preços do milho verde no CEASA – CE. De forma análoga ao que ocorreu na análise da cultura do feijão, pode-se perceber um padrão de oscilação nos preços do milho verde neste mercado. Considerando o período analisado o ano de 2010 apresentou a maior cotação média anual, atingindo um valor de R$ </w:t>
      </w:r>
      <w:r w:rsidRPr="00606381">
        <w:rPr>
          <w:b w:val="0"/>
        </w:rPr>
        <w:lastRenderedPageBreak/>
        <w:t>44,73/cento. Ao longo de todo este período analisado a maior cotação mensal ocorreu em agosto de 2009, quando o cento deste produto atingiu a cotação de R$ 56,12. Quando se analisa o período de menor cotação para o cento de milho verde, o mês de maio de 2007 aparece com a menor cotação para o período analisado, atingindo R$ 26,65/cento.</w:t>
      </w:r>
    </w:p>
    <w:p w:rsidR="004824FB" w:rsidRDefault="004824FB" w:rsidP="003B6DEF">
      <w:pPr>
        <w:pStyle w:val="Legenda"/>
        <w:jc w:val="both"/>
        <w:outlineLvl w:val="2"/>
      </w:pPr>
    </w:p>
    <w:p w:rsidR="00E73459" w:rsidRDefault="00E73459" w:rsidP="00726816">
      <w:pPr>
        <w:pStyle w:val="Legenda"/>
        <w:jc w:val="both"/>
        <w:outlineLvl w:val="2"/>
        <w:rPr>
          <w:color w:val="FF0000"/>
        </w:rPr>
        <w:sectPr w:rsidR="00E73459" w:rsidSect="00E73459">
          <w:type w:val="continuous"/>
          <w:pgSz w:w="11906" w:h="16838"/>
          <w:pgMar w:top="1134" w:right="851" w:bottom="1134" w:left="851" w:header="709" w:footer="709" w:gutter="0"/>
          <w:cols w:num="2" w:space="227"/>
          <w:titlePg/>
          <w:docGrid w:linePitch="360"/>
        </w:sectPr>
      </w:pPr>
    </w:p>
    <w:p w:rsidR="00777619" w:rsidRDefault="00777619" w:rsidP="00726816">
      <w:pPr>
        <w:pStyle w:val="Legenda"/>
        <w:jc w:val="both"/>
        <w:outlineLvl w:val="2"/>
        <w:rPr>
          <w:color w:val="FF0000"/>
        </w:rPr>
      </w:pPr>
    </w:p>
    <w:p w:rsidR="00B72C8C" w:rsidRDefault="00B72C8C" w:rsidP="00B72C8C">
      <w:pPr>
        <w:pStyle w:val="Legenda"/>
        <w:keepNext/>
        <w:ind w:firstLine="425"/>
        <w:jc w:val="both"/>
        <w:rPr>
          <w:color w:val="000000"/>
        </w:rPr>
      </w:pPr>
      <w:r>
        <w:rPr>
          <w:noProof/>
          <w:sz w:val="24"/>
          <w:szCs w:val="24"/>
        </w:rPr>
        <w:drawing>
          <wp:anchor distT="0" distB="0" distL="114300" distR="114300" simplePos="0" relativeHeight="251671552" behindDoc="1" locked="0" layoutInCell="1" allowOverlap="1" wp14:anchorId="24E6D740" wp14:editId="46DC856C">
            <wp:simplePos x="0" y="0"/>
            <wp:positionH relativeFrom="margin">
              <wp:align>center</wp:align>
            </wp:positionH>
            <wp:positionV relativeFrom="paragraph">
              <wp:posOffset>-4031</wp:posOffset>
            </wp:positionV>
            <wp:extent cx="5284800" cy="3710079"/>
            <wp:effectExtent l="0" t="0" r="0" b="508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84800" cy="37100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2C8C" w:rsidRDefault="00B72C8C" w:rsidP="00B72C8C">
      <w:pPr>
        <w:pStyle w:val="Legenda"/>
        <w:ind w:left="425" w:hanging="425"/>
        <w:jc w:val="both"/>
        <w:outlineLvl w:val="2"/>
        <w:rPr>
          <w:color w:val="000000" w:themeColor="text1"/>
        </w:rPr>
      </w:pPr>
    </w:p>
    <w:p w:rsidR="00777619" w:rsidRDefault="00777619" w:rsidP="00726816">
      <w:pPr>
        <w:pStyle w:val="Legenda"/>
        <w:jc w:val="both"/>
        <w:outlineLvl w:val="2"/>
        <w:rPr>
          <w:color w:val="FF0000"/>
        </w:rPr>
      </w:pPr>
    </w:p>
    <w:p w:rsidR="00777619" w:rsidRDefault="00777619" w:rsidP="00726816">
      <w:pPr>
        <w:pStyle w:val="Legenda"/>
        <w:jc w:val="both"/>
        <w:outlineLvl w:val="2"/>
        <w:rPr>
          <w:color w:val="FF0000"/>
        </w:rPr>
      </w:pPr>
    </w:p>
    <w:p w:rsidR="00777619" w:rsidRDefault="00777619" w:rsidP="00726816">
      <w:pPr>
        <w:pStyle w:val="Legenda"/>
        <w:jc w:val="both"/>
        <w:outlineLvl w:val="2"/>
        <w:rPr>
          <w:color w:val="FF0000"/>
        </w:rPr>
      </w:pPr>
    </w:p>
    <w:p w:rsidR="00777619" w:rsidRDefault="00777619" w:rsidP="00726816">
      <w:pPr>
        <w:pStyle w:val="Legenda"/>
        <w:jc w:val="both"/>
        <w:outlineLvl w:val="2"/>
        <w:rPr>
          <w:color w:val="FF0000"/>
        </w:rPr>
      </w:pPr>
    </w:p>
    <w:p w:rsidR="00777619" w:rsidRDefault="00777619" w:rsidP="00726816">
      <w:pPr>
        <w:pStyle w:val="Legenda"/>
        <w:jc w:val="both"/>
        <w:outlineLvl w:val="2"/>
        <w:rPr>
          <w:color w:val="FF000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D45553" w:rsidRDefault="00D45553" w:rsidP="00726816">
      <w:pPr>
        <w:pStyle w:val="CorpodoresumoIVCBM"/>
        <w:spacing w:after="0" w:line="240" w:lineRule="auto"/>
        <w:ind w:firstLine="426"/>
        <w:rPr>
          <w:rFonts w:ascii="Times New Roman" w:hAnsi="Times New Roman"/>
          <w:color w:val="FF0000"/>
          <w:sz w:val="20"/>
          <w:szCs w:val="20"/>
        </w:rPr>
        <w:sectPr w:rsidR="00D45553" w:rsidSect="00D56962">
          <w:headerReference w:type="first" r:id="rId28"/>
          <w:footerReference w:type="first" r:id="rId29"/>
          <w:type w:val="continuous"/>
          <w:pgSz w:w="11906" w:h="16838"/>
          <w:pgMar w:top="1134" w:right="851" w:bottom="1134" w:left="851" w:header="709" w:footer="709" w:gutter="0"/>
          <w:cols w:num="2" w:space="227"/>
          <w:titlePg/>
          <w:docGrid w:linePitch="360"/>
        </w:sect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D45553" w:rsidRDefault="00D45553" w:rsidP="00726816">
      <w:pPr>
        <w:pStyle w:val="CorpodoresumoIVCBM"/>
        <w:spacing w:after="0" w:line="240" w:lineRule="auto"/>
        <w:ind w:firstLine="426"/>
        <w:rPr>
          <w:rFonts w:ascii="Times New Roman" w:hAnsi="Times New Roman"/>
          <w:color w:val="FF0000"/>
          <w:sz w:val="20"/>
          <w:szCs w:val="20"/>
        </w:rPr>
        <w:sectPr w:rsidR="00D45553" w:rsidSect="00D45553">
          <w:type w:val="continuous"/>
          <w:pgSz w:w="11906" w:h="16838"/>
          <w:pgMar w:top="1134" w:right="851" w:bottom="1134" w:left="851" w:header="709" w:footer="709" w:gutter="0"/>
          <w:cols w:space="227"/>
          <w:titlePg/>
          <w:docGrid w:linePitch="360"/>
        </w:sect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D45553" w:rsidRDefault="00D45553" w:rsidP="00D45553">
      <w:pPr>
        <w:pStyle w:val="Legenda"/>
        <w:ind w:left="425" w:hanging="425"/>
        <w:jc w:val="both"/>
        <w:outlineLvl w:val="2"/>
        <w:rPr>
          <w:color w:val="000000" w:themeColor="text1"/>
        </w:rPr>
        <w:sectPr w:rsidR="00D45553" w:rsidSect="00D56962">
          <w:type w:val="continuous"/>
          <w:pgSz w:w="11906" w:h="16838"/>
          <w:pgMar w:top="1134" w:right="851" w:bottom="1134" w:left="851" w:header="709" w:footer="709" w:gutter="0"/>
          <w:cols w:num="2" w:space="227"/>
          <w:titlePg/>
          <w:docGrid w:linePitch="360"/>
        </w:sectPr>
      </w:pPr>
    </w:p>
    <w:p w:rsidR="00D45553" w:rsidRDefault="00D45553" w:rsidP="00D45553">
      <w:pPr>
        <w:pStyle w:val="Legenda"/>
        <w:ind w:left="425" w:hanging="425"/>
        <w:jc w:val="both"/>
        <w:outlineLvl w:val="2"/>
        <w:rPr>
          <w:color w:val="000000" w:themeColor="text1"/>
        </w:rPr>
      </w:pPr>
    </w:p>
    <w:p w:rsidR="00D45553" w:rsidRDefault="00D45553" w:rsidP="00D45553">
      <w:pPr>
        <w:pStyle w:val="Legenda"/>
        <w:ind w:left="425" w:hanging="425"/>
        <w:jc w:val="both"/>
        <w:outlineLvl w:val="2"/>
        <w:rPr>
          <w:color w:val="000000" w:themeColor="text1"/>
        </w:rPr>
      </w:pPr>
    </w:p>
    <w:p w:rsidR="00D45553" w:rsidRDefault="00D45553" w:rsidP="00D45553">
      <w:pPr>
        <w:pStyle w:val="Legenda"/>
        <w:ind w:left="425" w:hanging="425"/>
        <w:jc w:val="both"/>
        <w:outlineLvl w:val="2"/>
        <w:rPr>
          <w:color w:val="000000" w:themeColor="text1"/>
        </w:rPr>
      </w:pPr>
    </w:p>
    <w:p w:rsidR="00D45553" w:rsidRDefault="00D45553" w:rsidP="00D45553">
      <w:pPr>
        <w:pStyle w:val="Legenda"/>
        <w:ind w:left="425" w:hanging="425"/>
        <w:jc w:val="both"/>
        <w:outlineLvl w:val="2"/>
        <w:rPr>
          <w:color w:val="000000" w:themeColor="text1"/>
        </w:rPr>
      </w:pPr>
    </w:p>
    <w:p w:rsidR="00D45553" w:rsidRDefault="00D45553" w:rsidP="00D45553">
      <w:pPr>
        <w:pStyle w:val="Legenda"/>
        <w:ind w:left="425" w:hanging="425"/>
        <w:jc w:val="both"/>
        <w:outlineLvl w:val="2"/>
        <w:rPr>
          <w:b w:val="0"/>
          <w:color w:val="000000" w:themeColor="text1"/>
        </w:rPr>
      </w:pPr>
      <w:r w:rsidRPr="001E5B7E">
        <w:rPr>
          <w:color w:val="000000" w:themeColor="text1"/>
        </w:rPr>
        <w:t xml:space="preserve">Figura </w:t>
      </w:r>
      <w:r w:rsidR="00F90C88">
        <w:rPr>
          <w:color w:val="000000" w:themeColor="text1"/>
        </w:rPr>
        <w:t>5</w:t>
      </w:r>
      <w:r w:rsidRPr="001E5B7E">
        <w:rPr>
          <w:color w:val="000000" w:themeColor="text1"/>
        </w:rPr>
        <w:t>.</w:t>
      </w:r>
      <w:r w:rsidRPr="001E5B7E">
        <w:rPr>
          <w:b w:val="0"/>
          <w:color w:val="000000" w:themeColor="text1"/>
        </w:rPr>
        <w:t xml:space="preserve"> </w:t>
      </w:r>
      <w:r w:rsidRPr="00726816">
        <w:rPr>
          <w:b w:val="0"/>
          <w:color w:val="000000"/>
        </w:rPr>
        <w:t xml:space="preserve">Evolução dos preços reais do feijão seco na CEASA – CE (Sede Maracanaú) no período de janeiro de 2005 </w:t>
      </w:r>
      <w:proofErr w:type="gramStart"/>
      <w:r w:rsidRPr="00726816">
        <w:rPr>
          <w:b w:val="0"/>
          <w:color w:val="000000"/>
        </w:rPr>
        <w:t>à</w:t>
      </w:r>
      <w:proofErr w:type="gramEnd"/>
      <w:r w:rsidRPr="00726816">
        <w:rPr>
          <w:b w:val="0"/>
          <w:color w:val="000000"/>
        </w:rPr>
        <w:t xml:space="preserve"> dezembro de  2014.</w:t>
      </w:r>
    </w:p>
    <w:p w:rsidR="00D45553" w:rsidRDefault="00D45553" w:rsidP="00726816">
      <w:pPr>
        <w:pStyle w:val="CorpodoresumoIVCBM"/>
        <w:spacing w:after="0" w:line="240" w:lineRule="auto"/>
        <w:ind w:firstLine="426"/>
        <w:rPr>
          <w:rFonts w:ascii="Times New Roman" w:hAnsi="Times New Roman"/>
          <w:color w:val="FF0000"/>
          <w:sz w:val="20"/>
          <w:szCs w:val="20"/>
        </w:rPr>
        <w:sectPr w:rsidR="00D45553" w:rsidSect="00D45553">
          <w:type w:val="continuous"/>
          <w:pgSz w:w="11906" w:h="16838"/>
          <w:pgMar w:top="1134" w:right="851" w:bottom="1134" w:left="851" w:header="709" w:footer="709" w:gutter="0"/>
          <w:cols w:space="227"/>
          <w:titlePg/>
          <w:docGrid w:linePitch="360"/>
        </w:sect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F20586" w:rsidRPr="00F20586" w:rsidRDefault="00F20586" w:rsidP="00F20586">
      <w:pPr>
        <w:pStyle w:val="CorpodoresumoIVCBM"/>
        <w:spacing w:after="0" w:line="240" w:lineRule="auto"/>
        <w:ind w:firstLine="426"/>
        <w:rPr>
          <w:rFonts w:ascii="Times New Roman" w:hAnsi="Times New Roman"/>
          <w:color w:val="FF0000"/>
          <w:sz w:val="20"/>
          <w:szCs w:val="20"/>
        </w:rPr>
      </w:pPr>
      <w:r w:rsidRPr="00F20586">
        <w:rPr>
          <w:rFonts w:ascii="Times New Roman" w:hAnsi="Times New Roman"/>
          <w:sz w:val="20"/>
          <w:szCs w:val="20"/>
        </w:rPr>
        <w:t xml:space="preserve">Na figura 6, ilustra-se o comportamento dos índices estacionais de preços (IEP) de milho verde. Observa-se nítida flutuação dos preços ao longo do ano. Observe que nos meses de abril e maio ocorrem os preços mais baixos, isso porque nesse período ocorre a safra da cultura. Nesse período o IEP se mantém abaixo de 100. </w:t>
      </w:r>
    </w:p>
    <w:p w:rsidR="00FE6262" w:rsidRPr="00777619" w:rsidRDefault="00FE6262" w:rsidP="00FE6262">
      <w:pPr>
        <w:pStyle w:val="Legenda"/>
        <w:jc w:val="both"/>
        <w:outlineLvl w:val="2"/>
        <w:rPr>
          <w:b w:val="0"/>
        </w:rPr>
      </w:pPr>
      <w:r>
        <w:t>Figura 6</w:t>
      </w:r>
      <w:r w:rsidRPr="00777619">
        <w:t>.</w:t>
      </w:r>
      <w:r w:rsidRPr="00777619">
        <w:rPr>
          <w:b w:val="0"/>
        </w:rPr>
        <w:t xml:space="preserve"> Índices estacionais de Preços do feijão seco, na CEASA – CE.</w:t>
      </w:r>
    </w:p>
    <w:p w:rsidR="00F20586" w:rsidRPr="00F20586" w:rsidRDefault="00F20586" w:rsidP="00F20586">
      <w:pPr>
        <w:pStyle w:val="CorpodoresumoIVCBM"/>
        <w:spacing w:after="0" w:line="240" w:lineRule="auto"/>
        <w:ind w:firstLine="426"/>
        <w:rPr>
          <w:rFonts w:ascii="Times New Roman" w:hAnsi="Times New Roman"/>
          <w:color w:val="FF0000"/>
          <w:sz w:val="20"/>
          <w:szCs w:val="20"/>
        </w:rPr>
      </w:pPr>
    </w:p>
    <w:p w:rsidR="00F20586" w:rsidRPr="00F20586" w:rsidRDefault="00F20586" w:rsidP="00F20586">
      <w:pPr>
        <w:pStyle w:val="CorpodoresumoIVCBM"/>
        <w:spacing w:after="0" w:line="240" w:lineRule="auto"/>
        <w:ind w:firstLine="426"/>
        <w:rPr>
          <w:rFonts w:ascii="Times New Roman" w:hAnsi="Times New Roman"/>
          <w:color w:val="FF0000"/>
          <w:sz w:val="20"/>
          <w:szCs w:val="20"/>
        </w:rPr>
      </w:pPr>
    </w:p>
    <w:p w:rsidR="00FE6262" w:rsidRDefault="00FE6262" w:rsidP="003C6F55">
      <w:pPr>
        <w:pStyle w:val="CorpodoresumoIVCBM"/>
        <w:spacing w:after="0" w:line="240" w:lineRule="auto"/>
        <w:ind w:firstLine="0"/>
        <w:rPr>
          <w:rFonts w:ascii="Times New Roman" w:hAnsi="Times New Roman"/>
          <w:sz w:val="20"/>
          <w:szCs w:val="20"/>
        </w:rPr>
      </w:pPr>
    </w:p>
    <w:p w:rsidR="00FE6262" w:rsidRPr="00F20586" w:rsidRDefault="00FE6262" w:rsidP="00FE6262">
      <w:pPr>
        <w:pStyle w:val="CorpodoresumoIVCBM"/>
        <w:spacing w:after="0" w:line="240" w:lineRule="auto"/>
        <w:ind w:firstLine="426"/>
        <w:rPr>
          <w:rFonts w:ascii="Times New Roman" w:hAnsi="Times New Roman"/>
          <w:sz w:val="20"/>
          <w:szCs w:val="20"/>
        </w:rPr>
      </w:pPr>
      <w:r w:rsidRPr="00F20586">
        <w:rPr>
          <w:rFonts w:ascii="Times New Roman" w:hAnsi="Times New Roman"/>
          <w:sz w:val="20"/>
          <w:szCs w:val="20"/>
        </w:rPr>
        <w:t xml:space="preserve">Em contrapartida, do período de junho </w:t>
      </w:r>
      <w:proofErr w:type="gramStart"/>
      <w:r w:rsidRPr="00F20586">
        <w:rPr>
          <w:rFonts w:ascii="Times New Roman" w:hAnsi="Times New Roman"/>
          <w:sz w:val="20"/>
          <w:szCs w:val="20"/>
        </w:rPr>
        <w:t>à</w:t>
      </w:r>
      <w:proofErr w:type="gramEnd"/>
      <w:r w:rsidRPr="00F20586">
        <w:rPr>
          <w:rFonts w:ascii="Times New Roman" w:hAnsi="Times New Roman"/>
          <w:sz w:val="20"/>
          <w:szCs w:val="20"/>
        </w:rPr>
        <w:t xml:space="preserve"> março do ano seguinte, ocorre os preços mais altos, isso acontece devido este período ser de entressafra para esta cultura, havendo, portanto, menor oferta do produto, ocorrendo uma tendência ao aumento dos preços.</w:t>
      </w:r>
    </w:p>
    <w:p w:rsidR="00F20586" w:rsidRPr="00F20586" w:rsidRDefault="00F20586" w:rsidP="00F20586">
      <w:pPr>
        <w:pStyle w:val="CorpodoresumoIVCBM"/>
        <w:spacing w:after="0" w:line="240" w:lineRule="auto"/>
        <w:ind w:firstLine="426"/>
        <w:rPr>
          <w:rFonts w:ascii="Times New Roman" w:hAnsi="Times New Roman"/>
          <w:color w:val="FF0000"/>
          <w:sz w:val="20"/>
          <w:szCs w:val="20"/>
        </w:rPr>
      </w:pPr>
    </w:p>
    <w:p w:rsidR="00F20586" w:rsidRPr="00DA54AC" w:rsidRDefault="00ED2FEC" w:rsidP="00F20586">
      <w:pPr>
        <w:pStyle w:val="CorpodoresumoIVCBM"/>
        <w:spacing w:after="0" w:line="240" w:lineRule="auto"/>
        <w:ind w:firstLine="426"/>
        <w:rPr>
          <w:rFonts w:ascii="Times New Roman" w:hAnsi="Times New Roman"/>
          <w:sz w:val="20"/>
          <w:szCs w:val="20"/>
        </w:rPr>
      </w:pPr>
      <w:r>
        <w:rPr>
          <w:noProof/>
        </w:rPr>
        <w:drawing>
          <wp:anchor distT="0" distB="0" distL="114300" distR="114300" simplePos="0" relativeHeight="251672576" behindDoc="1" locked="0" layoutInCell="1" allowOverlap="1" wp14:anchorId="2095C61B" wp14:editId="2CDDBF0B">
            <wp:simplePos x="0" y="0"/>
            <wp:positionH relativeFrom="column">
              <wp:posOffset>-49530</wp:posOffset>
            </wp:positionH>
            <wp:positionV relativeFrom="paragraph">
              <wp:posOffset>-1446530</wp:posOffset>
            </wp:positionV>
            <wp:extent cx="3272155" cy="1769745"/>
            <wp:effectExtent l="19050" t="19050" r="23495" b="20955"/>
            <wp:wrapThrough wrapText="bothSides">
              <wp:wrapPolygon edited="0">
                <wp:start x="-126" y="-233"/>
                <wp:lineTo x="-126" y="21623"/>
                <wp:lineTo x="21629" y="21623"/>
                <wp:lineTo x="21629" y="-233"/>
                <wp:lineTo x="-126" y="-233"/>
              </wp:wrapPolygon>
            </wp:wrapThrough>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0">
                      <a:extLst>
                        <a:ext uri="{28A0092B-C50C-407E-A947-70E740481C1C}">
                          <a14:useLocalDpi xmlns:a14="http://schemas.microsoft.com/office/drawing/2010/main" val="0"/>
                        </a:ext>
                      </a:extLst>
                    </a:blip>
                    <a:srcRect l="2875" t="1762" r="1740" b="2513"/>
                    <a:stretch>
                      <a:fillRect/>
                    </a:stretch>
                  </pic:blipFill>
                  <pic:spPr bwMode="auto">
                    <a:xfrm>
                      <a:off x="0" y="0"/>
                      <a:ext cx="3272155" cy="1769745"/>
                    </a:xfrm>
                    <a:prstGeom prst="rect">
                      <a:avLst/>
                    </a:prstGeom>
                    <a:noFill/>
                    <a:ln w="9525"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DA54AC" w:rsidRPr="00DA54AC">
        <w:rPr>
          <w:rFonts w:ascii="Times New Roman" w:hAnsi="Times New Roman"/>
          <w:sz w:val="20"/>
          <w:szCs w:val="20"/>
        </w:rPr>
        <w:t>A tabela 3 a seguir, apresenta a estimativa dos índices estacionários de preços (média mensal considerando o período de 2005 a 2014) bem como os limites superiores e inferiores, onde é possível observar, de forma nítida, a variação do IEP ao longo do ano.</w:t>
      </w:r>
    </w:p>
    <w:p w:rsidR="00B72C8C" w:rsidRDefault="00B72C8C" w:rsidP="00726816">
      <w:pPr>
        <w:pStyle w:val="CorpodoresumoIVCBM"/>
        <w:spacing w:after="0" w:line="240" w:lineRule="auto"/>
        <w:ind w:firstLine="426"/>
        <w:rPr>
          <w:rFonts w:ascii="Times New Roman" w:hAnsi="Times New Roman"/>
          <w:color w:val="FF0000"/>
          <w:sz w:val="20"/>
          <w:szCs w:val="20"/>
        </w:rPr>
      </w:pPr>
    </w:p>
    <w:p w:rsidR="00FE6262" w:rsidRDefault="00FE6262"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346BD4" w:rsidRDefault="00346BD4" w:rsidP="00537F1B">
      <w:pPr>
        <w:spacing w:after="0" w:line="240" w:lineRule="auto"/>
        <w:jc w:val="both"/>
        <w:rPr>
          <w:rFonts w:ascii="Times New Roman" w:hAnsi="Times New Roman"/>
          <w:b/>
          <w:sz w:val="20"/>
          <w:szCs w:val="20"/>
        </w:rPr>
      </w:pPr>
    </w:p>
    <w:p w:rsidR="00346BD4" w:rsidRDefault="00346BD4" w:rsidP="00537F1B">
      <w:pPr>
        <w:spacing w:after="0" w:line="240" w:lineRule="auto"/>
        <w:jc w:val="both"/>
        <w:rPr>
          <w:rFonts w:ascii="Times New Roman" w:hAnsi="Times New Roman"/>
          <w:b/>
          <w:sz w:val="20"/>
          <w:szCs w:val="20"/>
        </w:rPr>
      </w:pPr>
    </w:p>
    <w:p w:rsidR="00346BD4" w:rsidRDefault="00346BD4" w:rsidP="00537F1B">
      <w:pPr>
        <w:spacing w:after="0" w:line="240" w:lineRule="auto"/>
        <w:jc w:val="both"/>
        <w:rPr>
          <w:rFonts w:ascii="Times New Roman" w:hAnsi="Times New Roman"/>
          <w:b/>
          <w:sz w:val="20"/>
          <w:szCs w:val="20"/>
        </w:rPr>
        <w:sectPr w:rsidR="00346BD4" w:rsidSect="00D56962">
          <w:type w:val="continuous"/>
          <w:pgSz w:w="11906" w:h="16838"/>
          <w:pgMar w:top="1134" w:right="851" w:bottom="1134" w:left="851" w:header="709" w:footer="709" w:gutter="0"/>
          <w:cols w:num="2" w:space="227"/>
          <w:titlePg/>
          <w:docGrid w:linePitch="360"/>
        </w:sectPr>
      </w:pPr>
    </w:p>
    <w:p w:rsidR="00346BD4" w:rsidRDefault="00537F1B" w:rsidP="00537F1B">
      <w:pPr>
        <w:spacing w:after="0" w:line="240" w:lineRule="auto"/>
        <w:jc w:val="both"/>
        <w:rPr>
          <w:rFonts w:ascii="Times New Roman" w:hAnsi="Times New Roman"/>
          <w:sz w:val="20"/>
          <w:szCs w:val="20"/>
        </w:rPr>
      </w:pPr>
      <w:r w:rsidRPr="007A2031">
        <w:rPr>
          <w:rFonts w:ascii="Times New Roman" w:hAnsi="Times New Roman"/>
          <w:b/>
          <w:sz w:val="20"/>
          <w:szCs w:val="20"/>
        </w:rPr>
        <w:lastRenderedPageBreak/>
        <w:t xml:space="preserve">Tabela </w:t>
      </w:r>
      <w:r w:rsidR="00EC1321">
        <w:rPr>
          <w:rFonts w:ascii="Times New Roman" w:hAnsi="Times New Roman"/>
          <w:b/>
          <w:sz w:val="20"/>
          <w:szCs w:val="20"/>
        </w:rPr>
        <w:t>3</w:t>
      </w:r>
      <w:r w:rsidRPr="007A2031">
        <w:rPr>
          <w:rFonts w:ascii="Times New Roman" w:hAnsi="Times New Roman"/>
          <w:sz w:val="20"/>
          <w:szCs w:val="20"/>
        </w:rPr>
        <w:t xml:space="preserve"> </w:t>
      </w:r>
      <w:proofErr w:type="gramStart"/>
      <w:r w:rsidRPr="007A2031">
        <w:rPr>
          <w:rFonts w:ascii="Times New Roman" w:hAnsi="Times New Roman"/>
          <w:sz w:val="20"/>
          <w:szCs w:val="20"/>
        </w:rPr>
        <w:t>–Estatística</w:t>
      </w:r>
      <w:proofErr w:type="gramEnd"/>
      <w:r w:rsidRPr="007A2031">
        <w:rPr>
          <w:rFonts w:ascii="Times New Roman" w:hAnsi="Times New Roman"/>
          <w:sz w:val="20"/>
          <w:szCs w:val="20"/>
        </w:rPr>
        <w:t xml:space="preserve"> descritiva (considerando: IEP, </w:t>
      </w:r>
    </w:p>
    <w:p w:rsidR="00537F1B" w:rsidRDefault="00537F1B" w:rsidP="00537F1B">
      <w:pPr>
        <w:spacing w:after="0" w:line="240" w:lineRule="auto"/>
        <w:jc w:val="both"/>
        <w:rPr>
          <w:rFonts w:ascii="Times New Roman" w:hAnsi="Times New Roman"/>
          <w:sz w:val="20"/>
          <w:szCs w:val="20"/>
        </w:rPr>
      </w:pPr>
      <w:proofErr w:type="gramStart"/>
      <w:r w:rsidRPr="007A2031">
        <w:rPr>
          <w:rFonts w:ascii="Times New Roman" w:hAnsi="Times New Roman"/>
          <w:sz w:val="20"/>
          <w:szCs w:val="20"/>
        </w:rPr>
        <w:t>limite</w:t>
      </w:r>
      <w:proofErr w:type="gramEnd"/>
      <w:r w:rsidRPr="007A2031">
        <w:rPr>
          <w:rFonts w:ascii="Times New Roman" w:hAnsi="Times New Roman"/>
          <w:sz w:val="20"/>
          <w:szCs w:val="20"/>
        </w:rPr>
        <w:t xml:space="preserve"> superior e limite inferior)</w:t>
      </w:r>
    </w:p>
    <w:p w:rsidR="00B72C8C" w:rsidRDefault="00B72C8C" w:rsidP="00726816">
      <w:pPr>
        <w:pStyle w:val="CorpodoresumoIVCBM"/>
        <w:spacing w:after="0" w:line="240" w:lineRule="auto"/>
        <w:ind w:firstLine="426"/>
        <w:rPr>
          <w:rFonts w:ascii="Times New Roman" w:hAnsi="Times New Roman"/>
          <w:color w:val="FF0000"/>
          <w:sz w:val="20"/>
          <w:szCs w:val="20"/>
        </w:rPr>
      </w:pPr>
    </w:p>
    <w:tbl>
      <w:tblPr>
        <w:tblpPr w:leftFromText="141" w:rightFromText="141" w:vertAnchor="text" w:horzAnchor="margin" w:tblpY="-32"/>
        <w:tblW w:w="4181" w:type="dxa"/>
        <w:tblCellMar>
          <w:left w:w="70" w:type="dxa"/>
          <w:right w:w="70" w:type="dxa"/>
        </w:tblCellMar>
        <w:tblLook w:val="04A0" w:firstRow="1" w:lastRow="0" w:firstColumn="1" w:lastColumn="0" w:noHBand="0" w:noVBand="1"/>
      </w:tblPr>
      <w:tblGrid>
        <w:gridCol w:w="646"/>
        <w:gridCol w:w="744"/>
        <w:gridCol w:w="684"/>
        <w:gridCol w:w="819"/>
        <w:gridCol w:w="700"/>
        <w:gridCol w:w="588"/>
      </w:tblGrid>
      <w:tr w:rsidR="00537F1B" w:rsidRPr="004824FB" w:rsidTr="00346BD4">
        <w:trPr>
          <w:trHeight w:val="287"/>
        </w:trPr>
        <w:tc>
          <w:tcPr>
            <w:tcW w:w="646" w:type="dxa"/>
            <w:tcBorders>
              <w:top w:val="single" w:sz="4" w:space="0" w:color="auto"/>
              <w:left w:val="nil"/>
              <w:bottom w:val="single" w:sz="8" w:space="0" w:color="auto"/>
              <w:right w:val="single" w:sz="4" w:space="0" w:color="auto"/>
            </w:tcBorders>
            <w:shd w:val="clear" w:color="000000" w:fill="D7E4BC"/>
            <w:noWrap/>
            <w:vAlign w:val="bottom"/>
            <w:hideMark/>
          </w:tcPr>
          <w:p w:rsidR="00537F1B" w:rsidRPr="004824FB" w:rsidRDefault="00537F1B" w:rsidP="00537F1B">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Meses</w:t>
            </w:r>
          </w:p>
        </w:tc>
        <w:tc>
          <w:tcPr>
            <w:tcW w:w="744" w:type="dxa"/>
            <w:tcBorders>
              <w:top w:val="single" w:sz="4" w:space="0" w:color="auto"/>
              <w:left w:val="nil"/>
              <w:bottom w:val="single" w:sz="8" w:space="0" w:color="auto"/>
              <w:right w:val="single" w:sz="4" w:space="0" w:color="auto"/>
            </w:tcBorders>
            <w:shd w:val="clear" w:color="000000" w:fill="D7E4BC"/>
            <w:noWrap/>
            <w:vAlign w:val="bottom"/>
            <w:hideMark/>
          </w:tcPr>
          <w:p w:rsidR="00537F1B" w:rsidRPr="004824FB" w:rsidRDefault="00537F1B" w:rsidP="00537F1B">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Limite Inferior</w:t>
            </w:r>
          </w:p>
        </w:tc>
        <w:tc>
          <w:tcPr>
            <w:tcW w:w="684" w:type="dxa"/>
            <w:tcBorders>
              <w:top w:val="single" w:sz="4" w:space="0" w:color="auto"/>
              <w:left w:val="nil"/>
              <w:bottom w:val="single" w:sz="8" w:space="0" w:color="auto"/>
              <w:right w:val="single" w:sz="4" w:space="0" w:color="auto"/>
            </w:tcBorders>
            <w:shd w:val="clear" w:color="000000" w:fill="D7E4BC"/>
            <w:noWrap/>
            <w:vAlign w:val="bottom"/>
            <w:hideMark/>
          </w:tcPr>
          <w:p w:rsidR="00537F1B" w:rsidRPr="004824FB" w:rsidRDefault="00537F1B" w:rsidP="00537F1B">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IEP</w:t>
            </w:r>
          </w:p>
        </w:tc>
        <w:tc>
          <w:tcPr>
            <w:tcW w:w="819" w:type="dxa"/>
            <w:tcBorders>
              <w:top w:val="single" w:sz="4" w:space="0" w:color="auto"/>
              <w:left w:val="nil"/>
              <w:bottom w:val="single" w:sz="8" w:space="0" w:color="auto"/>
              <w:right w:val="single" w:sz="4" w:space="0" w:color="auto"/>
            </w:tcBorders>
            <w:shd w:val="clear" w:color="000000" w:fill="D7E4BC"/>
            <w:noWrap/>
            <w:vAlign w:val="bottom"/>
            <w:hideMark/>
          </w:tcPr>
          <w:p w:rsidR="00537F1B" w:rsidRPr="004824FB" w:rsidRDefault="00537F1B" w:rsidP="00537F1B">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Limite Superior</w:t>
            </w:r>
          </w:p>
        </w:tc>
        <w:tc>
          <w:tcPr>
            <w:tcW w:w="700" w:type="dxa"/>
            <w:tcBorders>
              <w:top w:val="single" w:sz="4" w:space="0" w:color="auto"/>
              <w:left w:val="nil"/>
              <w:bottom w:val="single" w:sz="8" w:space="0" w:color="auto"/>
              <w:right w:val="single" w:sz="4" w:space="0" w:color="auto"/>
            </w:tcBorders>
            <w:shd w:val="clear" w:color="000000" w:fill="D7E4BC"/>
            <w:noWrap/>
            <w:vAlign w:val="bottom"/>
            <w:hideMark/>
          </w:tcPr>
          <w:p w:rsidR="00537F1B" w:rsidRPr="004824FB" w:rsidRDefault="00537F1B" w:rsidP="00537F1B">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Desvio Padrão</w:t>
            </w:r>
          </w:p>
        </w:tc>
        <w:tc>
          <w:tcPr>
            <w:tcW w:w="588" w:type="dxa"/>
            <w:tcBorders>
              <w:top w:val="single" w:sz="4" w:space="0" w:color="auto"/>
              <w:left w:val="nil"/>
              <w:bottom w:val="single" w:sz="8" w:space="0" w:color="auto"/>
              <w:right w:val="nil"/>
            </w:tcBorders>
            <w:shd w:val="clear" w:color="000000" w:fill="D7E4BC"/>
            <w:noWrap/>
            <w:vAlign w:val="bottom"/>
            <w:hideMark/>
          </w:tcPr>
          <w:p w:rsidR="00537F1B" w:rsidRPr="004824FB" w:rsidRDefault="00537F1B" w:rsidP="00537F1B">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CV%</w:t>
            </w:r>
          </w:p>
        </w:tc>
      </w:tr>
      <w:tr w:rsidR="00537F1B" w:rsidRPr="004824FB" w:rsidTr="00346BD4">
        <w:trPr>
          <w:trHeight w:val="272"/>
        </w:trPr>
        <w:tc>
          <w:tcPr>
            <w:tcW w:w="646" w:type="dxa"/>
            <w:tcBorders>
              <w:top w:val="nil"/>
              <w:left w:val="nil"/>
              <w:bottom w:val="nil"/>
              <w:right w:val="single" w:sz="4" w:space="0" w:color="auto"/>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Jan</w:t>
            </w:r>
          </w:p>
        </w:tc>
        <w:tc>
          <w:tcPr>
            <w:tcW w:w="74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93,23</w:t>
            </w:r>
          </w:p>
        </w:tc>
        <w:tc>
          <w:tcPr>
            <w:tcW w:w="68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103,69</w:t>
            </w:r>
          </w:p>
        </w:tc>
        <w:tc>
          <w:tcPr>
            <w:tcW w:w="819"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136,11</w:t>
            </w:r>
          </w:p>
        </w:tc>
        <w:tc>
          <w:tcPr>
            <w:tcW w:w="700"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22,36</w:t>
            </w:r>
          </w:p>
        </w:tc>
        <w:tc>
          <w:tcPr>
            <w:tcW w:w="588"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20,14</w:t>
            </w:r>
          </w:p>
        </w:tc>
      </w:tr>
      <w:tr w:rsidR="00537F1B" w:rsidRPr="004824FB" w:rsidTr="00346BD4">
        <w:trPr>
          <w:trHeight w:val="272"/>
        </w:trPr>
        <w:tc>
          <w:tcPr>
            <w:tcW w:w="646" w:type="dxa"/>
            <w:tcBorders>
              <w:top w:val="nil"/>
              <w:left w:val="nil"/>
              <w:bottom w:val="nil"/>
              <w:right w:val="single" w:sz="4" w:space="0" w:color="auto"/>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proofErr w:type="spellStart"/>
            <w:r w:rsidRPr="003C6F55">
              <w:rPr>
                <w:rFonts w:ascii="Times New Roman" w:hAnsi="Times New Roman" w:cs="Times New Roman"/>
                <w:color w:val="000000"/>
                <w:sz w:val="18"/>
                <w:szCs w:val="18"/>
                <w:lang w:eastAsia="pt-BR"/>
              </w:rPr>
              <w:t>Fev</w:t>
            </w:r>
            <w:proofErr w:type="spellEnd"/>
          </w:p>
        </w:tc>
        <w:tc>
          <w:tcPr>
            <w:tcW w:w="74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88,18</w:t>
            </w:r>
          </w:p>
        </w:tc>
        <w:tc>
          <w:tcPr>
            <w:tcW w:w="68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102,61</w:t>
            </w:r>
          </w:p>
        </w:tc>
        <w:tc>
          <w:tcPr>
            <w:tcW w:w="819"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120,76</w:t>
            </w:r>
          </w:p>
        </w:tc>
        <w:tc>
          <w:tcPr>
            <w:tcW w:w="700"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16,32</w:t>
            </w:r>
          </w:p>
        </w:tc>
        <w:tc>
          <w:tcPr>
            <w:tcW w:w="588"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15,72</w:t>
            </w:r>
          </w:p>
        </w:tc>
      </w:tr>
      <w:tr w:rsidR="00537F1B" w:rsidRPr="004824FB" w:rsidTr="00346BD4">
        <w:trPr>
          <w:trHeight w:val="272"/>
        </w:trPr>
        <w:tc>
          <w:tcPr>
            <w:tcW w:w="646" w:type="dxa"/>
            <w:tcBorders>
              <w:top w:val="nil"/>
              <w:left w:val="nil"/>
              <w:bottom w:val="nil"/>
              <w:right w:val="single" w:sz="4" w:space="0" w:color="auto"/>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Mar</w:t>
            </w:r>
          </w:p>
        </w:tc>
        <w:tc>
          <w:tcPr>
            <w:tcW w:w="74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92,03</w:t>
            </w:r>
          </w:p>
        </w:tc>
        <w:tc>
          <w:tcPr>
            <w:tcW w:w="68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100,95</w:t>
            </w:r>
          </w:p>
        </w:tc>
        <w:tc>
          <w:tcPr>
            <w:tcW w:w="819"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110,03</w:t>
            </w:r>
          </w:p>
        </w:tc>
        <w:tc>
          <w:tcPr>
            <w:tcW w:w="700"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9,00</w:t>
            </w:r>
          </w:p>
        </w:tc>
        <w:tc>
          <w:tcPr>
            <w:tcW w:w="588"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8,91</w:t>
            </w:r>
          </w:p>
        </w:tc>
      </w:tr>
      <w:tr w:rsidR="00537F1B" w:rsidRPr="004824FB" w:rsidTr="00346BD4">
        <w:trPr>
          <w:trHeight w:val="272"/>
        </w:trPr>
        <w:tc>
          <w:tcPr>
            <w:tcW w:w="646" w:type="dxa"/>
            <w:tcBorders>
              <w:top w:val="nil"/>
              <w:left w:val="nil"/>
              <w:bottom w:val="nil"/>
              <w:right w:val="single" w:sz="4" w:space="0" w:color="auto"/>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proofErr w:type="spellStart"/>
            <w:r w:rsidRPr="003C6F55">
              <w:rPr>
                <w:rFonts w:ascii="Times New Roman" w:hAnsi="Times New Roman" w:cs="Times New Roman"/>
                <w:color w:val="000000"/>
                <w:sz w:val="18"/>
                <w:szCs w:val="18"/>
                <w:lang w:eastAsia="pt-BR"/>
              </w:rPr>
              <w:t>Abr</w:t>
            </w:r>
            <w:proofErr w:type="spellEnd"/>
          </w:p>
        </w:tc>
        <w:tc>
          <w:tcPr>
            <w:tcW w:w="74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76,01</w:t>
            </w:r>
          </w:p>
        </w:tc>
        <w:tc>
          <w:tcPr>
            <w:tcW w:w="68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86,37</w:t>
            </w:r>
          </w:p>
        </w:tc>
        <w:tc>
          <w:tcPr>
            <w:tcW w:w="819"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98,32</w:t>
            </w:r>
          </w:p>
        </w:tc>
        <w:tc>
          <w:tcPr>
            <w:tcW w:w="700"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11,16</w:t>
            </w:r>
          </w:p>
        </w:tc>
        <w:tc>
          <w:tcPr>
            <w:tcW w:w="588"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12,85</w:t>
            </w:r>
          </w:p>
        </w:tc>
      </w:tr>
      <w:tr w:rsidR="00537F1B" w:rsidRPr="004824FB" w:rsidTr="00346BD4">
        <w:trPr>
          <w:trHeight w:val="272"/>
        </w:trPr>
        <w:tc>
          <w:tcPr>
            <w:tcW w:w="646" w:type="dxa"/>
            <w:tcBorders>
              <w:top w:val="nil"/>
              <w:left w:val="nil"/>
              <w:bottom w:val="nil"/>
              <w:right w:val="single" w:sz="4" w:space="0" w:color="auto"/>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Mai</w:t>
            </w:r>
          </w:p>
        </w:tc>
        <w:tc>
          <w:tcPr>
            <w:tcW w:w="74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68,03</w:t>
            </w:r>
          </w:p>
        </w:tc>
        <w:tc>
          <w:tcPr>
            <w:tcW w:w="68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82,37</w:t>
            </w:r>
          </w:p>
        </w:tc>
        <w:tc>
          <w:tcPr>
            <w:tcW w:w="819"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101,47</w:t>
            </w:r>
          </w:p>
        </w:tc>
        <w:tc>
          <w:tcPr>
            <w:tcW w:w="700"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16,78</w:t>
            </w:r>
          </w:p>
        </w:tc>
        <w:tc>
          <w:tcPr>
            <w:tcW w:w="588"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19,98</w:t>
            </w:r>
          </w:p>
        </w:tc>
      </w:tr>
      <w:tr w:rsidR="00537F1B" w:rsidRPr="004824FB" w:rsidTr="00346BD4">
        <w:trPr>
          <w:trHeight w:val="272"/>
        </w:trPr>
        <w:tc>
          <w:tcPr>
            <w:tcW w:w="646" w:type="dxa"/>
            <w:tcBorders>
              <w:top w:val="nil"/>
              <w:left w:val="nil"/>
              <w:bottom w:val="nil"/>
              <w:right w:val="single" w:sz="4" w:space="0" w:color="auto"/>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proofErr w:type="spellStart"/>
            <w:r w:rsidRPr="003C6F55">
              <w:rPr>
                <w:rFonts w:ascii="Times New Roman" w:hAnsi="Times New Roman" w:cs="Times New Roman"/>
                <w:color w:val="000000"/>
                <w:sz w:val="18"/>
                <w:szCs w:val="18"/>
                <w:lang w:eastAsia="pt-BR"/>
              </w:rPr>
              <w:t>Jun</w:t>
            </w:r>
            <w:proofErr w:type="spellEnd"/>
          </w:p>
        </w:tc>
        <w:tc>
          <w:tcPr>
            <w:tcW w:w="74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86,92</w:t>
            </w:r>
          </w:p>
        </w:tc>
        <w:tc>
          <w:tcPr>
            <w:tcW w:w="68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101,27</w:t>
            </w:r>
          </w:p>
        </w:tc>
        <w:tc>
          <w:tcPr>
            <w:tcW w:w="819"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119,86</w:t>
            </w:r>
          </w:p>
        </w:tc>
        <w:tc>
          <w:tcPr>
            <w:tcW w:w="700"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16,52</w:t>
            </w:r>
          </w:p>
        </w:tc>
        <w:tc>
          <w:tcPr>
            <w:tcW w:w="588"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16,08</w:t>
            </w:r>
          </w:p>
        </w:tc>
      </w:tr>
      <w:tr w:rsidR="00537F1B" w:rsidRPr="004824FB" w:rsidTr="00346BD4">
        <w:trPr>
          <w:trHeight w:val="272"/>
        </w:trPr>
        <w:tc>
          <w:tcPr>
            <w:tcW w:w="646" w:type="dxa"/>
            <w:tcBorders>
              <w:top w:val="nil"/>
              <w:left w:val="nil"/>
              <w:bottom w:val="nil"/>
              <w:right w:val="single" w:sz="4" w:space="0" w:color="auto"/>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proofErr w:type="spellStart"/>
            <w:r w:rsidRPr="003C6F55">
              <w:rPr>
                <w:rFonts w:ascii="Times New Roman" w:hAnsi="Times New Roman" w:cs="Times New Roman"/>
                <w:color w:val="000000"/>
                <w:sz w:val="18"/>
                <w:szCs w:val="18"/>
                <w:lang w:eastAsia="pt-BR"/>
              </w:rPr>
              <w:t>Jul</w:t>
            </w:r>
            <w:proofErr w:type="spellEnd"/>
          </w:p>
        </w:tc>
        <w:tc>
          <w:tcPr>
            <w:tcW w:w="74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82,62</w:t>
            </w:r>
          </w:p>
        </w:tc>
        <w:tc>
          <w:tcPr>
            <w:tcW w:w="68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102,89</w:t>
            </w:r>
          </w:p>
        </w:tc>
        <w:tc>
          <w:tcPr>
            <w:tcW w:w="819"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128,20</w:t>
            </w:r>
          </w:p>
        </w:tc>
        <w:tc>
          <w:tcPr>
            <w:tcW w:w="700"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22,84</w:t>
            </w:r>
          </w:p>
        </w:tc>
        <w:tc>
          <w:tcPr>
            <w:tcW w:w="588"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21,84</w:t>
            </w:r>
          </w:p>
        </w:tc>
      </w:tr>
      <w:tr w:rsidR="00537F1B" w:rsidRPr="004824FB" w:rsidTr="00346BD4">
        <w:trPr>
          <w:trHeight w:val="272"/>
        </w:trPr>
        <w:tc>
          <w:tcPr>
            <w:tcW w:w="646" w:type="dxa"/>
            <w:tcBorders>
              <w:top w:val="nil"/>
              <w:left w:val="nil"/>
              <w:bottom w:val="nil"/>
              <w:right w:val="single" w:sz="4" w:space="0" w:color="auto"/>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proofErr w:type="spellStart"/>
            <w:r w:rsidRPr="003C6F55">
              <w:rPr>
                <w:rFonts w:ascii="Times New Roman" w:hAnsi="Times New Roman" w:cs="Times New Roman"/>
                <w:color w:val="000000"/>
                <w:sz w:val="18"/>
                <w:szCs w:val="18"/>
                <w:lang w:eastAsia="pt-BR"/>
              </w:rPr>
              <w:t>Ago</w:t>
            </w:r>
            <w:proofErr w:type="spellEnd"/>
          </w:p>
        </w:tc>
        <w:tc>
          <w:tcPr>
            <w:tcW w:w="74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96,11</w:t>
            </w:r>
          </w:p>
        </w:tc>
        <w:tc>
          <w:tcPr>
            <w:tcW w:w="68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107,98</w:t>
            </w:r>
          </w:p>
        </w:tc>
        <w:tc>
          <w:tcPr>
            <w:tcW w:w="819"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132,05</w:t>
            </w:r>
          </w:p>
        </w:tc>
        <w:tc>
          <w:tcPr>
            <w:tcW w:w="700"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18,31</w:t>
            </w:r>
          </w:p>
        </w:tc>
        <w:tc>
          <w:tcPr>
            <w:tcW w:w="588"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16,34</w:t>
            </w:r>
          </w:p>
        </w:tc>
      </w:tr>
      <w:tr w:rsidR="00537F1B" w:rsidRPr="004824FB" w:rsidTr="00346BD4">
        <w:trPr>
          <w:trHeight w:val="272"/>
        </w:trPr>
        <w:tc>
          <w:tcPr>
            <w:tcW w:w="646" w:type="dxa"/>
            <w:tcBorders>
              <w:top w:val="nil"/>
              <w:left w:val="nil"/>
              <w:bottom w:val="nil"/>
              <w:right w:val="single" w:sz="4" w:space="0" w:color="auto"/>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Set</w:t>
            </w:r>
          </w:p>
        </w:tc>
        <w:tc>
          <w:tcPr>
            <w:tcW w:w="74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96,44</w:t>
            </w:r>
          </w:p>
        </w:tc>
        <w:tc>
          <w:tcPr>
            <w:tcW w:w="68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105,25</w:t>
            </w:r>
          </w:p>
        </w:tc>
        <w:tc>
          <w:tcPr>
            <w:tcW w:w="819"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116,37</w:t>
            </w:r>
          </w:p>
        </w:tc>
        <w:tc>
          <w:tcPr>
            <w:tcW w:w="700"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9,99</w:t>
            </w:r>
          </w:p>
        </w:tc>
        <w:tc>
          <w:tcPr>
            <w:tcW w:w="588"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9,42</w:t>
            </w:r>
          </w:p>
        </w:tc>
      </w:tr>
      <w:tr w:rsidR="00537F1B" w:rsidRPr="004824FB" w:rsidTr="00346BD4">
        <w:trPr>
          <w:trHeight w:val="272"/>
        </w:trPr>
        <w:tc>
          <w:tcPr>
            <w:tcW w:w="646" w:type="dxa"/>
            <w:tcBorders>
              <w:top w:val="nil"/>
              <w:left w:val="nil"/>
              <w:bottom w:val="nil"/>
              <w:right w:val="single" w:sz="4" w:space="0" w:color="auto"/>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Out</w:t>
            </w:r>
          </w:p>
        </w:tc>
        <w:tc>
          <w:tcPr>
            <w:tcW w:w="74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93,47</w:t>
            </w:r>
          </w:p>
        </w:tc>
        <w:tc>
          <w:tcPr>
            <w:tcW w:w="68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105,07</w:t>
            </w:r>
          </w:p>
        </w:tc>
        <w:tc>
          <w:tcPr>
            <w:tcW w:w="819"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116,41</w:t>
            </w:r>
          </w:p>
        </w:tc>
        <w:tc>
          <w:tcPr>
            <w:tcW w:w="700"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11,47</w:t>
            </w:r>
          </w:p>
        </w:tc>
        <w:tc>
          <w:tcPr>
            <w:tcW w:w="588"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10,93</w:t>
            </w:r>
          </w:p>
        </w:tc>
      </w:tr>
      <w:tr w:rsidR="00537F1B" w:rsidRPr="004824FB" w:rsidTr="00346BD4">
        <w:trPr>
          <w:trHeight w:val="272"/>
        </w:trPr>
        <w:tc>
          <w:tcPr>
            <w:tcW w:w="646" w:type="dxa"/>
            <w:tcBorders>
              <w:top w:val="nil"/>
              <w:left w:val="nil"/>
              <w:bottom w:val="nil"/>
              <w:right w:val="single" w:sz="4" w:space="0" w:color="auto"/>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proofErr w:type="spellStart"/>
            <w:r w:rsidRPr="003C6F55">
              <w:rPr>
                <w:rFonts w:ascii="Times New Roman" w:hAnsi="Times New Roman" w:cs="Times New Roman"/>
                <w:color w:val="000000"/>
                <w:sz w:val="18"/>
                <w:szCs w:val="18"/>
                <w:lang w:eastAsia="pt-BR"/>
              </w:rPr>
              <w:t>Nov</w:t>
            </w:r>
            <w:proofErr w:type="spellEnd"/>
          </w:p>
        </w:tc>
        <w:tc>
          <w:tcPr>
            <w:tcW w:w="74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93,09</w:t>
            </w:r>
          </w:p>
        </w:tc>
        <w:tc>
          <w:tcPr>
            <w:tcW w:w="684"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100,46</w:t>
            </w:r>
          </w:p>
        </w:tc>
        <w:tc>
          <w:tcPr>
            <w:tcW w:w="819"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105,17</w:t>
            </w:r>
          </w:p>
        </w:tc>
        <w:tc>
          <w:tcPr>
            <w:tcW w:w="700"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6,09</w:t>
            </w:r>
          </w:p>
        </w:tc>
        <w:tc>
          <w:tcPr>
            <w:tcW w:w="588" w:type="dxa"/>
            <w:tcBorders>
              <w:top w:val="nil"/>
              <w:left w:val="nil"/>
              <w:bottom w:val="nil"/>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6,12</w:t>
            </w:r>
          </w:p>
        </w:tc>
      </w:tr>
      <w:tr w:rsidR="00537F1B" w:rsidRPr="004824FB" w:rsidTr="00346BD4">
        <w:trPr>
          <w:trHeight w:val="287"/>
        </w:trPr>
        <w:tc>
          <w:tcPr>
            <w:tcW w:w="646" w:type="dxa"/>
            <w:tcBorders>
              <w:top w:val="nil"/>
              <w:left w:val="nil"/>
              <w:bottom w:val="single" w:sz="8" w:space="0" w:color="auto"/>
              <w:right w:val="single" w:sz="4" w:space="0" w:color="auto"/>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Dez</w:t>
            </w:r>
          </w:p>
        </w:tc>
        <w:tc>
          <w:tcPr>
            <w:tcW w:w="744" w:type="dxa"/>
            <w:tcBorders>
              <w:top w:val="nil"/>
              <w:left w:val="nil"/>
              <w:bottom w:val="single" w:sz="8" w:space="0" w:color="auto"/>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84,63</w:t>
            </w:r>
          </w:p>
        </w:tc>
        <w:tc>
          <w:tcPr>
            <w:tcW w:w="684" w:type="dxa"/>
            <w:tcBorders>
              <w:top w:val="nil"/>
              <w:left w:val="nil"/>
              <w:bottom w:val="single" w:sz="8" w:space="0" w:color="auto"/>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100,23</w:t>
            </w:r>
          </w:p>
        </w:tc>
        <w:tc>
          <w:tcPr>
            <w:tcW w:w="819" w:type="dxa"/>
            <w:tcBorders>
              <w:top w:val="nil"/>
              <w:left w:val="nil"/>
              <w:bottom w:val="single" w:sz="8" w:space="0" w:color="auto"/>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123,92</w:t>
            </w:r>
          </w:p>
        </w:tc>
        <w:tc>
          <w:tcPr>
            <w:tcW w:w="700" w:type="dxa"/>
            <w:tcBorders>
              <w:top w:val="nil"/>
              <w:left w:val="nil"/>
              <w:bottom w:val="single" w:sz="8" w:space="0" w:color="auto"/>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19,78</w:t>
            </w:r>
          </w:p>
        </w:tc>
        <w:tc>
          <w:tcPr>
            <w:tcW w:w="588" w:type="dxa"/>
            <w:tcBorders>
              <w:top w:val="nil"/>
              <w:left w:val="nil"/>
              <w:bottom w:val="single" w:sz="8" w:space="0" w:color="auto"/>
              <w:right w:val="nil"/>
            </w:tcBorders>
            <w:shd w:val="clear" w:color="auto" w:fill="auto"/>
            <w:noWrap/>
            <w:vAlign w:val="bottom"/>
            <w:hideMark/>
          </w:tcPr>
          <w:p w:rsidR="00537F1B" w:rsidRPr="003C6F55" w:rsidRDefault="00537F1B" w:rsidP="00537F1B">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19,22</w:t>
            </w:r>
          </w:p>
        </w:tc>
      </w:tr>
    </w:tbl>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346BD4" w:rsidRDefault="00346BD4" w:rsidP="00346BD4">
      <w:pPr>
        <w:pStyle w:val="CorpodoresumoIVCBM"/>
        <w:spacing w:after="0" w:line="240" w:lineRule="auto"/>
        <w:ind w:firstLine="426"/>
        <w:rPr>
          <w:rFonts w:ascii="Times New Roman" w:hAnsi="Times New Roman"/>
          <w:b/>
          <w:sz w:val="20"/>
          <w:szCs w:val="20"/>
        </w:rPr>
      </w:pPr>
    </w:p>
    <w:p w:rsidR="00346BD4" w:rsidRDefault="00346BD4" w:rsidP="00346BD4">
      <w:pPr>
        <w:pStyle w:val="CorpodoresumoIVCBM"/>
        <w:spacing w:after="0" w:line="240" w:lineRule="auto"/>
        <w:ind w:firstLine="426"/>
        <w:rPr>
          <w:rFonts w:ascii="Times New Roman" w:hAnsi="Times New Roman"/>
          <w:b/>
          <w:sz w:val="20"/>
          <w:szCs w:val="20"/>
        </w:rPr>
      </w:pPr>
    </w:p>
    <w:p w:rsidR="00346BD4" w:rsidRDefault="00346BD4" w:rsidP="00346BD4">
      <w:pPr>
        <w:pStyle w:val="CorpodoresumoIVCBM"/>
        <w:spacing w:after="0" w:line="240" w:lineRule="auto"/>
        <w:ind w:firstLine="426"/>
        <w:rPr>
          <w:rFonts w:ascii="Times New Roman" w:hAnsi="Times New Roman"/>
          <w:b/>
          <w:sz w:val="20"/>
          <w:szCs w:val="20"/>
        </w:rPr>
      </w:pPr>
    </w:p>
    <w:p w:rsidR="00346BD4" w:rsidRDefault="00346BD4" w:rsidP="00346BD4">
      <w:pPr>
        <w:pStyle w:val="CorpodoresumoIVCBM"/>
        <w:spacing w:after="0" w:line="240" w:lineRule="auto"/>
        <w:ind w:firstLine="426"/>
        <w:rPr>
          <w:rFonts w:ascii="Times New Roman" w:hAnsi="Times New Roman"/>
          <w:b/>
          <w:sz w:val="20"/>
          <w:szCs w:val="20"/>
        </w:rPr>
      </w:pPr>
    </w:p>
    <w:p w:rsidR="00346BD4" w:rsidRDefault="00346BD4" w:rsidP="00346BD4">
      <w:pPr>
        <w:pStyle w:val="CorpodoresumoIVCBM"/>
        <w:spacing w:after="0" w:line="240" w:lineRule="auto"/>
        <w:ind w:firstLine="426"/>
        <w:rPr>
          <w:rFonts w:ascii="Times New Roman" w:hAnsi="Times New Roman"/>
          <w:b/>
          <w:sz w:val="20"/>
          <w:szCs w:val="20"/>
        </w:rPr>
      </w:pPr>
    </w:p>
    <w:p w:rsidR="00346BD4" w:rsidRDefault="00346BD4" w:rsidP="00346BD4">
      <w:pPr>
        <w:pStyle w:val="CorpodoresumoIVCBM"/>
        <w:spacing w:after="0" w:line="240" w:lineRule="auto"/>
        <w:ind w:firstLine="426"/>
        <w:rPr>
          <w:rFonts w:ascii="Times New Roman" w:hAnsi="Times New Roman"/>
          <w:b/>
          <w:sz w:val="20"/>
          <w:szCs w:val="20"/>
        </w:rPr>
      </w:pPr>
    </w:p>
    <w:p w:rsidR="00346BD4" w:rsidRDefault="00346BD4" w:rsidP="00346BD4">
      <w:pPr>
        <w:pStyle w:val="CorpodoresumoIVCBM"/>
        <w:spacing w:after="0" w:line="240" w:lineRule="auto"/>
        <w:ind w:firstLine="426"/>
        <w:rPr>
          <w:rFonts w:ascii="Times New Roman" w:hAnsi="Times New Roman"/>
          <w:b/>
          <w:sz w:val="20"/>
          <w:szCs w:val="20"/>
        </w:rPr>
      </w:pPr>
    </w:p>
    <w:p w:rsidR="00346BD4" w:rsidRDefault="00346BD4" w:rsidP="00346BD4">
      <w:pPr>
        <w:pStyle w:val="CorpodoresumoIVCBM"/>
        <w:spacing w:after="0" w:line="240" w:lineRule="auto"/>
        <w:ind w:firstLine="426"/>
        <w:rPr>
          <w:rFonts w:ascii="Times New Roman" w:hAnsi="Times New Roman"/>
          <w:b/>
          <w:sz w:val="20"/>
          <w:szCs w:val="20"/>
        </w:rPr>
      </w:pPr>
    </w:p>
    <w:p w:rsidR="00346BD4" w:rsidRDefault="00346BD4" w:rsidP="00346BD4">
      <w:pPr>
        <w:pStyle w:val="CorpodoresumoIVCBM"/>
        <w:spacing w:after="0" w:line="240" w:lineRule="auto"/>
        <w:ind w:firstLine="426"/>
        <w:rPr>
          <w:rFonts w:ascii="Times New Roman" w:hAnsi="Times New Roman"/>
          <w:b/>
          <w:sz w:val="20"/>
          <w:szCs w:val="20"/>
        </w:rPr>
      </w:pPr>
    </w:p>
    <w:p w:rsidR="00346BD4" w:rsidRDefault="004373E9" w:rsidP="00346BD4">
      <w:pPr>
        <w:pStyle w:val="CorpodoresumoIVCBM"/>
        <w:spacing w:after="0" w:line="240" w:lineRule="auto"/>
        <w:ind w:firstLine="426"/>
        <w:rPr>
          <w:rFonts w:ascii="Times New Roman" w:hAnsi="Times New Roman"/>
          <w:b/>
          <w:sz w:val="20"/>
          <w:szCs w:val="20"/>
        </w:rPr>
      </w:pPr>
      <w:r>
        <w:rPr>
          <w:rFonts w:ascii="Times New Roman" w:hAnsi="Times New Roman"/>
          <w:b/>
          <w:noProof/>
        </w:rPr>
        <w:drawing>
          <wp:anchor distT="0" distB="0" distL="114300" distR="114300" simplePos="0" relativeHeight="251673600" behindDoc="1" locked="0" layoutInCell="1" allowOverlap="1" wp14:anchorId="709C312F" wp14:editId="3317BE81">
            <wp:simplePos x="0" y="0"/>
            <wp:positionH relativeFrom="margin">
              <wp:posOffset>591820</wp:posOffset>
            </wp:positionH>
            <wp:positionV relativeFrom="paragraph">
              <wp:posOffset>97155</wp:posOffset>
            </wp:positionV>
            <wp:extent cx="5290185" cy="3297555"/>
            <wp:effectExtent l="0" t="0" r="571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90185" cy="329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6BD4" w:rsidRDefault="00346BD4" w:rsidP="00346BD4">
      <w:pPr>
        <w:pStyle w:val="CorpodoresumoIVCBM"/>
        <w:spacing w:after="0" w:line="240" w:lineRule="auto"/>
        <w:ind w:firstLine="426"/>
        <w:rPr>
          <w:rFonts w:ascii="Times New Roman" w:hAnsi="Times New Roman"/>
          <w:b/>
          <w:sz w:val="20"/>
          <w:szCs w:val="20"/>
        </w:rPr>
      </w:pPr>
    </w:p>
    <w:p w:rsidR="00346BD4" w:rsidRPr="00325F80" w:rsidRDefault="00346BD4" w:rsidP="00346BD4">
      <w:pPr>
        <w:pStyle w:val="CorpodoresumoIVCBM"/>
        <w:spacing w:after="0" w:line="240" w:lineRule="auto"/>
        <w:ind w:firstLine="426"/>
        <w:rPr>
          <w:rFonts w:ascii="Times New Roman" w:hAnsi="Times New Roman"/>
          <w:b/>
          <w:sz w:val="20"/>
          <w:szCs w:val="20"/>
        </w:rPr>
      </w:pPr>
      <w:r w:rsidRPr="00325F80">
        <w:rPr>
          <w:rFonts w:ascii="Times New Roman" w:hAnsi="Times New Roman"/>
          <w:b/>
          <w:sz w:val="20"/>
          <w:szCs w:val="20"/>
        </w:rPr>
        <w:lastRenderedPageBreak/>
        <w:t>Milho grão</w:t>
      </w:r>
    </w:p>
    <w:p w:rsidR="00346BD4" w:rsidRPr="00325F80" w:rsidRDefault="00346BD4" w:rsidP="00346BD4">
      <w:pPr>
        <w:pStyle w:val="CorpodoresumoIVCBM"/>
        <w:spacing w:after="0" w:line="240" w:lineRule="auto"/>
        <w:ind w:firstLine="426"/>
        <w:rPr>
          <w:rFonts w:ascii="Times New Roman" w:hAnsi="Times New Roman"/>
          <w:sz w:val="20"/>
          <w:szCs w:val="20"/>
        </w:rPr>
      </w:pPr>
    </w:p>
    <w:p w:rsidR="00346BD4" w:rsidRDefault="00346BD4" w:rsidP="00346BD4">
      <w:pPr>
        <w:pStyle w:val="CorpodoresumoIVCBM"/>
        <w:spacing w:after="0" w:line="240" w:lineRule="auto"/>
        <w:ind w:firstLine="426"/>
        <w:rPr>
          <w:rFonts w:ascii="Times New Roman" w:hAnsi="Times New Roman"/>
          <w:sz w:val="20"/>
          <w:szCs w:val="20"/>
        </w:rPr>
      </w:pPr>
      <w:r w:rsidRPr="00325F80">
        <w:rPr>
          <w:rFonts w:ascii="Times New Roman" w:hAnsi="Times New Roman"/>
          <w:sz w:val="20"/>
          <w:szCs w:val="20"/>
        </w:rPr>
        <w:t xml:space="preserve">A partir do histórico de preços analisado se elaborou um gráfico apresentando a evolução dos preços da saca de 60 kg de milho ao longo do período de 2005 </w:t>
      </w:r>
      <w:proofErr w:type="gramStart"/>
      <w:r w:rsidRPr="00325F80">
        <w:rPr>
          <w:rFonts w:ascii="Times New Roman" w:hAnsi="Times New Roman"/>
          <w:sz w:val="20"/>
          <w:szCs w:val="20"/>
        </w:rPr>
        <w:t>à</w:t>
      </w:r>
      <w:proofErr w:type="gramEnd"/>
      <w:r w:rsidRPr="00325F80">
        <w:rPr>
          <w:rFonts w:ascii="Times New Roman" w:hAnsi="Times New Roman"/>
          <w:sz w:val="20"/>
          <w:szCs w:val="20"/>
        </w:rPr>
        <w:t xml:space="preserve"> 2014 (figura 7). Neste período o ano de 2013 apresentou a maior média de preço anual, atingindo uma cotação de R$ 48,92/SC de 60 kg.</w:t>
      </w:r>
      <w:proofErr w:type="gramStart"/>
      <w:r w:rsidRPr="00325F80">
        <w:rPr>
          <w:rFonts w:ascii="Times New Roman" w:hAnsi="Times New Roman"/>
          <w:sz w:val="20"/>
          <w:szCs w:val="20"/>
        </w:rPr>
        <w:t xml:space="preserve"> </w:t>
      </w:r>
      <w:r>
        <w:rPr>
          <w:rFonts w:ascii="Times New Roman" w:hAnsi="Times New Roman"/>
          <w:sz w:val="20"/>
          <w:szCs w:val="20"/>
        </w:rPr>
        <w:t xml:space="preserve"> </w:t>
      </w:r>
    </w:p>
    <w:p w:rsidR="00346BD4" w:rsidRPr="00325F80" w:rsidRDefault="00346BD4" w:rsidP="00346BD4">
      <w:pPr>
        <w:pStyle w:val="CorpodoresumoIVCBM"/>
        <w:spacing w:after="0" w:line="240" w:lineRule="auto"/>
        <w:ind w:firstLine="426"/>
        <w:rPr>
          <w:rFonts w:ascii="Times New Roman" w:hAnsi="Times New Roman"/>
          <w:sz w:val="20"/>
          <w:szCs w:val="20"/>
        </w:rPr>
      </w:pPr>
      <w:proofErr w:type="gramEnd"/>
      <w:r w:rsidRPr="00325F80">
        <w:rPr>
          <w:rFonts w:ascii="Times New Roman" w:hAnsi="Times New Roman"/>
          <w:sz w:val="20"/>
          <w:szCs w:val="20"/>
        </w:rPr>
        <w:t>A maior cotação mensal para a saca de 60 kg de milho, considerando o período analisado, ocorreu em abril de 2008, quando a cotação atingiu R$ 62,16. Por outro lado, quando se analisa a menor cotação para o período, o mês de dezembro de 2008 aparece com a cotação de R$ 35,45.</w:t>
      </w:r>
    </w:p>
    <w:p w:rsidR="00346BD4" w:rsidRDefault="00346BD4"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726816">
      <w:pPr>
        <w:pStyle w:val="CorpodoresumoIVCBM"/>
        <w:spacing w:after="0" w:line="240" w:lineRule="auto"/>
        <w:ind w:firstLine="426"/>
        <w:rPr>
          <w:rFonts w:ascii="Times New Roman" w:hAnsi="Times New Roman"/>
          <w:color w:val="FF0000"/>
          <w:sz w:val="20"/>
          <w:szCs w:val="20"/>
        </w:rPr>
      </w:pPr>
    </w:p>
    <w:p w:rsidR="00B72C8C" w:rsidRDefault="00B72C8C" w:rsidP="00325F80">
      <w:pPr>
        <w:pStyle w:val="CorpodoresumoIVCBM"/>
        <w:spacing w:after="0" w:line="240" w:lineRule="auto"/>
        <w:ind w:firstLine="0"/>
        <w:rPr>
          <w:rFonts w:ascii="Times New Roman" w:hAnsi="Times New Roman"/>
          <w:color w:val="FF0000"/>
          <w:sz w:val="20"/>
          <w:szCs w:val="20"/>
        </w:rPr>
      </w:pPr>
    </w:p>
    <w:p w:rsidR="003A3652" w:rsidRDefault="003A3652" w:rsidP="00325F80">
      <w:pPr>
        <w:pStyle w:val="CorpodoresumoIVCBM"/>
        <w:spacing w:after="0" w:line="240" w:lineRule="auto"/>
        <w:ind w:firstLine="426"/>
        <w:rPr>
          <w:rFonts w:ascii="Times New Roman" w:hAnsi="Times New Roman"/>
          <w:b/>
          <w:sz w:val="20"/>
          <w:szCs w:val="20"/>
        </w:rPr>
        <w:sectPr w:rsidR="003A3652" w:rsidSect="00346BD4">
          <w:type w:val="continuous"/>
          <w:pgSz w:w="11906" w:h="16838"/>
          <w:pgMar w:top="1134" w:right="851" w:bottom="1134" w:left="851" w:header="709" w:footer="709" w:gutter="0"/>
          <w:cols w:num="2" w:space="227"/>
          <w:titlePg/>
          <w:docGrid w:linePitch="360"/>
        </w:sectPr>
      </w:pPr>
    </w:p>
    <w:p w:rsidR="003A3652" w:rsidRDefault="003A3652" w:rsidP="00325F80">
      <w:pPr>
        <w:pStyle w:val="CorpodoresumoIVCBM"/>
        <w:spacing w:after="0" w:line="240" w:lineRule="auto"/>
        <w:ind w:firstLine="426"/>
        <w:rPr>
          <w:rFonts w:ascii="Times New Roman" w:hAnsi="Times New Roman"/>
          <w:b/>
          <w:sz w:val="20"/>
          <w:szCs w:val="20"/>
        </w:rPr>
      </w:pPr>
    </w:p>
    <w:p w:rsidR="003A3652" w:rsidRDefault="003A3652" w:rsidP="00325F80">
      <w:pPr>
        <w:pStyle w:val="CorpodoresumoIVCBM"/>
        <w:spacing w:after="0" w:line="240" w:lineRule="auto"/>
        <w:ind w:firstLine="426"/>
        <w:rPr>
          <w:rFonts w:ascii="Times New Roman" w:hAnsi="Times New Roman"/>
          <w:b/>
          <w:sz w:val="20"/>
          <w:szCs w:val="20"/>
        </w:rPr>
      </w:pPr>
    </w:p>
    <w:p w:rsidR="003A3652" w:rsidRDefault="003A3652" w:rsidP="00325F80">
      <w:pPr>
        <w:pStyle w:val="CorpodoresumoIVCBM"/>
        <w:spacing w:after="0" w:line="240" w:lineRule="auto"/>
        <w:ind w:firstLine="426"/>
        <w:rPr>
          <w:rFonts w:ascii="Times New Roman" w:hAnsi="Times New Roman"/>
          <w:b/>
          <w:sz w:val="20"/>
          <w:szCs w:val="20"/>
        </w:rPr>
      </w:pPr>
    </w:p>
    <w:p w:rsidR="003A3652" w:rsidRDefault="003A3652" w:rsidP="00325F80">
      <w:pPr>
        <w:pStyle w:val="CorpodoresumoIVCBM"/>
        <w:spacing w:after="0" w:line="240" w:lineRule="auto"/>
        <w:ind w:firstLine="426"/>
        <w:rPr>
          <w:rFonts w:ascii="Times New Roman" w:hAnsi="Times New Roman"/>
          <w:b/>
          <w:sz w:val="20"/>
          <w:szCs w:val="20"/>
        </w:rPr>
      </w:pPr>
    </w:p>
    <w:p w:rsidR="003A3652" w:rsidRDefault="003A3652" w:rsidP="00325F80">
      <w:pPr>
        <w:pStyle w:val="CorpodoresumoIVCBM"/>
        <w:spacing w:after="0" w:line="240" w:lineRule="auto"/>
        <w:ind w:firstLine="426"/>
        <w:rPr>
          <w:rFonts w:ascii="Times New Roman" w:hAnsi="Times New Roman"/>
          <w:b/>
          <w:sz w:val="20"/>
          <w:szCs w:val="20"/>
        </w:rPr>
      </w:pPr>
    </w:p>
    <w:p w:rsidR="003A3652" w:rsidRDefault="003A3652" w:rsidP="00325F80">
      <w:pPr>
        <w:pStyle w:val="CorpodoresumoIVCBM"/>
        <w:spacing w:after="0" w:line="240" w:lineRule="auto"/>
        <w:ind w:firstLine="426"/>
        <w:rPr>
          <w:rFonts w:ascii="Times New Roman" w:hAnsi="Times New Roman"/>
          <w:b/>
          <w:sz w:val="20"/>
          <w:szCs w:val="20"/>
        </w:rPr>
      </w:pPr>
    </w:p>
    <w:p w:rsidR="003A3652" w:rsidRDefault="003A3652" w:rsidP="00325F80">
      <w:pPr>
        <w:pStyle w:val="CorpodoresumoIVCBM"/>
        <w:spacing w:after="0" w:line="240" w:lineRule="auto"/>
        <w:ind w:firstLine="426"/>
        <w:rPr>
          <w:rFonts w:ascii="Times New Roman" w:hAnsi="Times New Roman"/>
          <w:b/>
          <w:sz w:val="20"/>
          <w:szCs w:val="20"/>
        </w:rPr>
      </w:pPr>
    </w:p>
    <w:p w:rsidR="00346BD4" w:rsidRDefault="00346BD4" w:rsidP="00325F80">
      <w:pPr>
        <w:pStyle w:val="CorpodoresumoIVCBM"/>
        <w:spacing w:after="0" w:line="240" w:lineRule="auto"/>
        <w:ind w:firstLine="426"/>
        <w:rPr>
          <w:rFonts w:ascii="Times New Roman" w:hAnsi="Times New Roman"/>
          <w:b/>
          <w:sz w:val="20"/>
          <w:szCs w:val="20"/>
        </w:rPr>
        <w:sectPr w:rsidR="00346BD4" w:rsidSect="00346BD4">
          <w:type w:val="continuous"/>
          <w:pgSz w:w="11906" w:h="16838"/>
          <w:pgMar w:top="1134" w:right="851" w:bottom="1134" w:left="851" w:header="709" w:footer="709" w:gutter="0"/>
          <w:cols w:num="2" w:space="227"/>
          <w:titlePg/>
          <w:docGrid w:linePitch="360"/>
        </w:sectPr>
      </w:pPr>
    </w:p>
    <w:p w:rsidR="003A3652" w:rsidRDefault="003A3652" w:rsidP="00325F80">
      <w:pPr>
        <w:pStyle w:val="CorpodoresumoIVCBM"/>
        <w:spacing w:after="0" w:line="240" w:lineRule="auto"/>
        <w:ind w:firstLine="426"/>
        <w:rPr>
          <w:rFonts w:ascii="Times New Roman" w:hAnsi="Times New Roman"/>
          <w:b/>
          <w:sz w:val="20"/>
          <w:szCs w:val="20"/>
        </w:rPr>
      </w:pPr>
    </w:p>
    <w:p w:rsidR="003A3652" w:rsidRDefault="003A3652" w:rsidP="00325F80">
      <w:pPr>
        <w:pStyle w:val="CorpodoresumoIVCBM"/>
        <w:spacing w:after="0" w:line="240" w:lineRule="auto"/>
        <w:ind w:firstLine="426"/>
        <w:rPr>
          <w:rFonts w:ascii="Times New Roman" w:hAnsi="Times New Roman"/>
          <w:b/>
          <w:sz w:val="20"/>
          <w:szCs w:val="20"/>
        </w:rPr>
      </w:pPr>
    </w:p>
    <w:p w:rsidR="003A3652" w:rsidRDefault="003A3652" w:rsidP="00325F80">
      <w:pPr>
        <w:pStyle w:val="CorpodoresumoIVCBM"/>
        <w:spacing w:after="0" w:line="240" w:lineRule="auto"/>
        <w:ind w:firstLine="426"/>
        <w:rPr>
          <w:rFonts w:ascii="Times New Roman" w:hAnsi="Times New Roman"/>
          <w:b/>
          <w:sz w:val="20"/>
          <w:szCs w:val="20"/>
        </w:rPr>
      </w:pPr>
    </w:p>
    <w:p w:rsidR="003A3652" w:rsidRDefault="003A3652" w:rsidP="00726816">
      <w:pPr>
        <w:pStyle w:val="CorpodoresumoIVCBM"/>
        <w:spacing w:after="0" w:line="240" w:lineRule="auto"/>
        <w:ind w:firstLine="0"/>
        <w:rPr>
          <w:rFonts w:ascii="Times New Roman" w:hAnsi="Times New Roman"/>
          <w:color w:val="FF0000"/>
          <w:sz w:val="20"/>
          <w:szCs w:val="20"/>
        </w:rPr>
        <w:sectPr w:rsidR="003A3652" w:rsidSect="003A3652">
          <w:type w:val="continuous"/>
          <w:pgSz w:w="11906" w:h="16838"/>
          <w:pgMar w:top="1134" w:right="851" w:bottom="1134" w:left="851" w:header="709" w:footer="709" w:gutter="0"/>
          <w:cols w:space="227"/>
          <w:titlePg/>
          <w:docGrid w:linePitch="360"/>
        </w:sectPr>
      </w:pPr>
    </w:p>
    <w:p w:rsidR="00726816" w:rsidRPr="00ED36BA" w:rsidRDefault="00726816" w:rsidP="00726816">
      <w:pPr>
        <w:pStyle w:val="CorpodoresumoIVCBM"/>
        <w:spacing w:after="0" w:line="240" w:lineRule="auto"/>
        <w:ind w:firstLine="0"/>
        <w:rPr>
          <w:rFonts w:ascii="Times New Roman" w:hAnsi="Times New Roman"/>
          <w:color w:val="FF0000"/>
          <w:sz w:val="20"/>
          <w:szCs w:val="20"/>
        </w:rPr>
      </w:pPr>
    </w:p>
    <w:p w:rsidR="00726816" w:rsidRPr="00ED36BA" w:rsidRDefault="00726816" w:rsidP="00726816">
      <w:pPr>
        <w:pStyle w:val="CorpodoresumoIVCBM"/>
        <w:spacing w:after="0" w:line="240" w:lineRule="auto"/>
        <w:ind w:firstLine="0"/>
        <w:rPr>
          <w:rFonts w:ascii="Times New Roman" w:hAnsi="Times New Roman"/>
          <w:color w:val="FF0000"/>
          <w:sz w:val="20"/>
          <w:szCs w:val="20"/>
        </w:rPr>
      </w:pP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361AF1" w:rsidRDefault="00361AF1" w:rsidP="00361AF1">
      <w:pPr>
        <w:pStyle w:val="Legenda"/>
        <w:ind w:left="425" w:hanging="425"/>
        <w:jc w:val="both"/>
        <w:outlineLvl w:val="2"/>
        <w:rPr>
          <w:color w:val="000000" w:themeColor="text1"/>
        </w:rPr>
        <w:sectPr w:rsidR="00361AF1" w:rsidSect="00D56962">
          <w:type w:val="continuous"/>
          <w:pgSz w:w="11906" w:h="16838"/>
          <w:pgMar w:top="1134" w:right="851" w:bottom="1134" w:left="851" w:header="709" w:footer="709" w:gutter="0"/>
          <w:cols w:num="2" w:space="227"/>
          <w:titlePg/>
          <w:docGrid w:linePitch="360"/>
        </w:sectPr>
      </w:pPr>
    </w:p>
    <w:p w:rsidR="00361AF1" w:rsidRDefault="00361AF1" w:rsidP="00361AF1">
      <w:pPr>
        <w:pStyle w:val="Legenda"/>
        <w:ind w:left="425" w:hanging="425"/>
        <w:jc w:val="both"/>
        <w:outlineLvl w:val="2"/>
        <w:rPr>
          <w:color w:val="000000" w:themeColor="text1"/>
        </w:rPr>
      </w:pPr>
    </w:p>
    <w:p w:rsidR="00361AF1" w:rsidRDefault="00361AF1" w:rsidP="00361AF1">
      <w:pPr>
        <w:pStyle w:val="Legenda"/>
        <w:ind w:left="425" w:hanging="425"/>
        <w:jc w:val="both"/>
        <w:outlineLvl w:val="2"/>
        <w:rPr>
          <w:color w:val="000000" w:themeColor="text1"/>
        </w:rPr>
      </w:pPr>
    </w:p>
    <w:p w:rsidR="00361AF1" w:rsidRDefault="00361AF1" w:rsidP="00361AF1">
      <w:pPr>
        <w:pStyle w:val="Legenda"/>
        <w:ind w:left="425" w:hanging="425"/>
        <w:jc w:val="both"/>
        <w:outlineLvl w:val="2"/>
        <w:rPr>
          <w:color w:val="000000" w:themeColor="text1"/>
        </w:rPr>
      </w:pPr>
    </w:p>
    <w:p w:rsidR="00361AF1" w:rsidRDefault="00361AF1" w:rsidP="00361AF1">
      <w:pPr>
        <w:pStyle w:val="Legenda"/>
        <w:ind w:left="425" w:hanging="425"/>
        <w:jc w:val="both"/>
        <w:outlineLvl w:val="2"/>
        <w:rPr>
          <w:color w:val="000000" w:themeColor="text1"/>
        </w:rPr>
      </w:pPr>
    </w:p>
    <w:p w:rsidR="00361AF1" w:rsidRDefault="00361AF1" w:rsidP="00361AF1">
      <w:pPr>
        <w:pStyle w:val="Legenda"/>
        <w:ind w:left="425" w:hanging="425"/>
        <w:jc w:val="both"/>
        <w:outlineLvl w:val="2"/>
        <w:rPr>
          <w:color w:val="000000" w:themeColor="text1"/>
        </w:rPr>
      </w:pPr>
    </w:p>
    <w:p w:rsidR="00361AF1" w:rsidRDefault="00361AF1" w:rsidP="00361AF1">
      <w:pPr>
        <w:pStyle w:val="Legenda"/>
        <w:ind w:left="425" w:hanging="425"/>
        <w:jc w:val="both"/>
        <w:outlineLvl w:val="2"/>
        <w:rPr>
          <w:color w:val="000000" w:themeColor="text1"/>
        </w:rPr>
      </w:pPr>
    </w:p>
    <w:p w:rsidR="00361AF1" w:rsidRDefault="00361AF1" w:rsidP="00361AF1">
      <w:pPr>
        <w:pStyle w:val="Legenda"/>
        <w:ind w:left="425" w:hanging="425"/>
        <w:jc w:val="both"/>
        <w:outlineLvl w:val="2"/>
        <w:rPr>
          <w:color w:val="000000" w:themeColor="text1"/>
        </w:rPr>
      </w:pPr>
    </w:p>
    <w:p w:rsidR="00361AF1" w:rsidRDefault="00361AF1" w:rsidP="00361AF1">
      <w:pPr>
        <w:pStyle w:val="Legenda"/>
        <w:ind w:left="425" w:hanging="425"/>
        <w:jc w:val="both"/>
        <w:outlineLvl w:val="2"/>
        <w:rPr>
          <w:b w:val="0"/>
          <w:color w:val="000000" w:themeColor="text1"/>
        </w:rPr>
      </w:pPr>
      <w:r w:rsidRPr="001E5B7E">
        <w:rPr>
          <w:color w:val="000000" w:themeColor="text1"/>
        </w:rPr>
        <w:t xml:space="preserve">Figura </w:t>
      </w:r>
      <w:r w:rsidR="006B652F">
        <w:rPr>
          <w:color w:val="000000" w:themeColor="text1"/>
        </w:rPr>
        <w:t>7</w:t>
      </w:r>
      <w:r w:rsidRPr="001E5B7E">
        <w:rPr>
          <w:color w:val="000000" w:themeColor="text1"/>
        </w:rPr>
        <w:t>.</w:t>
      </w:r>
      <w:r w:rsidRPr="001E5B7E">
        <w:rPr>
          <w:b w:val="0"/>
          <w:color w:val="000000" w:themeColor="text1"/>
        </w:rPr>
        <w:t xml:space="preserve"> </w:t>
      </w:r>
      <w:r w:rsidRPr="00726816">
        <w:rPr>
          <w:b w:val="0"/>
          <w:color w:val="000000"/>
        </w:rPr>
        <w:t xml:space="preserve">Evolução dos preços reais do feijão seco na CEASA – CE (Sede Maracanaú) no período de janeiro de 2005 </w:t>
      </w:r>
      <w:proofErr w:type="gramStart"/>
      <w:r w:rsidRPr="00726816">
        <w:rPr>
          <w:b w:val="0"/>
          <w:color w:val="000000"/>
        </w:rPr>
        <w:t>à</w:t>
      </w:r>
      <w:proofErr w:type="gramEnd"/>
      <w:r w:rsidRPr="00726816">
        <w:rPr>
          <w:b w:val="0"/>
          <w:color w:val="000000"/>
        </w:rPr>
        <w:t xml:space="preserve"> dezembro de  2014.</w:t>
      </w:r>
    </w:p>
    <w:p w:rsidR="00361AF1" w:rsidRDefault="00361AF1" w:rsidP="00F91DC8">
      <w:pPr>
        <w:spacing w:after="0" w:line="240" w:lineRule="auto"/>
        <w:jc w:val="both"/>
        <w:rPr>
          <w:rFonts w:ascii="Times New Roman" w:hAnsi="Times New Roman"/>
          <w:b/>
          <w:sz w:val="20"/>
          <w:szCs w:val="28"/>
        </w:rPr>
        <w:sectPr w:rsidR="00361AF1" w:rsidSect="00361AF1">
          <w:type w:val="continuous"/>
          <w:pgSz w:w="11906" w:h="16838"/>
          <w:pgMar w:top="1134" w:right="851" w:bottom="1134" w:left="851" w:header="709" w:footer="709" w:gutter="0"/>
          <w:cols w:space="227"/>
          <w:titlePg/>
          <w:docGrid w:linePitch="360"/>
        </w:sectPr>
      </w:pP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4373E9" w:rsidRPr="00497847" w:rsidRDefault="00497847" w:rsidP="00497847">
      <w:pPr>
        <w:spacing w:after="0" w:line="240" w:lineRule="auto"/>
        <w:ind w:firstLine="425"/>
        <w:jc w:val="both"/>
        <w:rPr>
          <w:rFonts w:ascii="Times New Roman" w:hAnsi="Times New Roman"/>
          <w:sz w:val="20"/>
          <w:szCs w:val="28"/>
        </w:rPr>
      </w:pPr>
      <w:r w:rsidRPr="00497847">
        <w:rPr>
          <w:rFonts w:ascii="Times New Roman" w:hAnsi="Times New Roman"/>
          <w:sz w:val="20"/>
          <w:szCs w:val="28"/>
        </w:rPr>
        <w:t xml:space="preserve">Na Figura 8, apresenta-se o comportamento dos índices estacionais de preço (IEP) de milho grão. Nos meses do primeiro semestre ocorrem os preços mais altos, sendo este período considerado o período de entressafra. O período de julho </w:t>
      </w:r>
      <w:proofErr w:type="gramStart"/>
      <w:r w:rsidRPr="00497847">
        <w:rPr>
          <w:rFonts w:ascii="Times New Roman" w:hAnsi="Times New Roman"/>
          <w:sz w:val="20"/>
          <w:szCs w:val="28"/>
        </w:rPr>
        <w:t>à</w:t>
      </w:r>
      <w:proofErr w:type="gramEnd"/>
      <w:r w:rsidRPr="00497847">
        <w:rPr>
          <w:rFonts w:ascii="Times New Roman" w:hAnsi="Times New Roman"/>
          <w:sz w:val="20"/>
          <w:szCs w:val="28"/>
        </w:rPr>
        <w:t xml:space="preserve"> dezembro apresentam os índices estacionais de preços mais baixos, isto é, este período corresponde ao período de safra deste produto.</w:t>
      </w:r>
    </w:p>
    <w:p w:rsidR="004373E9" w:rsidRDefault="004373E9" w:rsidP="00F91DC8">
      <w:pPr>
        <w:spacing w:after="0" w:line="240" w:lineRule="auto"/>
        <w:jc w:val="both"/>
        <w:rPr>
          <w:rFonts w:ascii="Times New Roman" w:hAnsi="Times New Roman"/>
          <w:b/>
          <w:sz w:val="20"/>
          <w:szCs w:val="28"/>
        </w:rPr>
      </w:pPr>
    </w:p>
    <w:p w:rsidR="004373E9" w:rsidRDefault="004373E9"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267404" w:rsidP="00F91DC8">
      <w:pPr>
        <w:spacing w:after="0" w:line="240" w:lineRule="auto"/>
        <w:jc w:val="both"/>
        <w:rPr>
          <w:rFonts w:ascii="Times New Roman" w:hAnsi="Times New Roman"/>
          <w:b/>
          <w:sz w:val="20"/>
          <w:szCs w:val="28"/>
        </w:rPr>
      </w:pPr>
      <w:r>
        <w:rPr>
          <w:rFonts w:ascii="Times New Roman" w:hAnsi="Times New Roman"/>
          <w:b/>
          <w:noProof/>
          <w:sz w:val="20"/>
          <w:szCs w:val="28"/>
          <w:lang w:eastAsia="pt-BR"/>
        </w:rPr>
        <w:lastRenderedPageBreak/>
        <w:drawing>
          <wp:anchor distT="0" distB="0" distL="114300" distR="114300" simplePos="0" relativeHeight="251674624" behindDoc="1" locked="0" layoutInCell="1" allowOverlap="1" wp14:anchorId="3A98D5A6" wp14:editId="14491E2F">
            <wp:simplePos x="0" y="0"/>
            <wp:positionH relativeFrom="column">
              <wp:posOffset>-3175</wp:posOffset>
            </wp:positionH>
            <wp:positionV relativeFrom="paragraph">
              <wp:posOffset>56819</wp:posOffset>
            </wp:positionV>
            <wp:extent cx="3244850" cy="1771015"/>
            <wp:effectExtent l="0" t="0" r="0" b="63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44850" cy="1771015"/>
                    </a:xfrm>
                    <a:prstGeom prst="rect">
                      <a:avLst/>
                    </a:prstGeom>
                    <a:noFill/>
                  </pic:spPr>
                </pic:pic>
              </a:graphicData>
            </a:graphic>
            <wp14:sizeRelH relativeFrom="page">
              <wp14:pctWidth>0</wp14:pctWidth>
            </wp14:sizeRelH>
            <wp14:sizeRelV relativeFrom="page">
              <wp14:pctHeight>0</wp14:pctHeight>
            </wp14:sizeRelV>
          </wp:anchor>
        </w:drawing>
      </w: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6DF3" w:rsidRDefault="00436DF3" w:rsidP="00F91DC8">
      <w:pPr>
        <w:spacing w:after="0" w:line="240" w:lineRule="auto"/>
        <w:jc w:val="both"/>
        <w:rPr>
          <w:rFonts w:ascii="Times New Roman" w:hAnsi="Times New Roman"/>
          <w:b/>
          <w:sz w:val="20"/>
          <w:szCs w:val="28"/>
        </w:rPr>
      </w:pPr>
    </w:p>
    <w:p w:rsidR="004373E9" w:rsidRPr="00267404" w:rsidRDefault="00267404" w:rsidP="00F91DC8">
      <w:pPr>
        <w:spacing w:after="0" w:line="240" w:lineRule="auto"/>
        <w:jc w:val="both"/>
        <w:rPr>
          <w:rFonts w:ascii="Times New Roman" w:hAnsi="Times New Roman"/>
          <w:sz w:val="20"/>
          <w:szCs w:val="28"/>
        </w:rPr>
      </w:pPr>
      <w:r w:rsidRPr="00267404">
        <w:rPr>
          <w:rFonts w:ascii="Times New Roman" w:hAnsi="Times New Roman"/>
          <w:b/>
          <w:sz w:val="20"/>
          <w:szCs w:val="28"/>
        </w:rPr>
        <w:t xml:space="preserve">Figura </w:t>
      </w:r>
      <w:r>
        <w:rPr>
          <w:rFonts w:ascii="Times New Roman" w:hAnsi="Times New Roman"/>
          <w:b/>
          <w:sz w:val="20"/>
          <w:szCs w:val="28"/>
        </w:rPr>
        <w:t>8</w:t>
      </w:r>
      <w:r w:rsidRPr="00267404">
        <w:rPr>
          <w:rFonts w:ascii="Times New Roman" w:hAnsi="Times New Roman"/>
          <w:b/>
          <w:sz w:val="20"/>
          <w:szCs w:val="28"/>
        </w:rPr>
        <w:t xml:space="preserve">. </w:t>
      </w:r>
      <w:r w:rsidRPr="00267404">
        <w:rPr>
          <w:rFonts w:ascii="Times New Roman" w:hAnsi="Times New Roman"/>
          <w:sz w:val="20"/>
          <w:szCs w:val="28"/>
        </w:rPr>
        <w:t>Índices estacionais de Preços do feijão seco, na CEASA – CE.</w:t>
      </w:r>
    </w:p>
    <w:p w:rsidR="004373E9" w:rsidRDefault="004373E9" w:rsidP="00F91DC8">
      <w:pPr>
        <w:spacing w:after="0" w:line="240" w:lineRule="auto"/>
        <w:jc w:val="both"/>
        <w:rPr>
          <w:rFonts w:ascii="Times New Roman" w:hAnsi="Times New Roman"/>
          <w:b/>
          <w:sz w:val="20"/>
          <w:szCs w:val="28"/>
        </w:rPr>
      </w:pPr>
    </w:p>
    <w:p w:rsidR="00433114" w:rsidRDefault="00433114" w:rsidP="00433114">
      <w:pPr>
        <w:spacing w:after="0" w:line="240" w:lineRule="auto"/>
        <w:ind w:firstLine="426"/>
        <w:jc w:val="both"/>
        <w:rPr>
          <w:rFonts w:ascii="Times New Roman" w:hAnsi="Times New Roman"/>
          <w:sz w:val="20"/>
          <w:szCs w:val="28"/>
        </w:rPr>
      </w:pPr>
      <w:r w:rsidRPr="00433114">
        <w:rPr>
          <w:rFonts w:ascii="Times New Roman" w:hAnsi="Times New Roman"/>
          <w:sz w:val="20"/>
          <w:szCs w:val="28"/>
        </w:rPr>
        <w:t>A tabela 4 a seguir apresenta a estimativa do desvio padrão e CV% entre o IEP, o limite superior e limite inferior. Vale salientar que em comparação com o milho verde, o milho grão apresenta uma variabilidade menor. O desvio padrão médio para o milho grão foi de 11,73, enquanto o desvio padrão para o milho verde foi de 15,05.</w:t>
      </w:r>
    </w:p>
    <w:p w:rsidR="00A327D8" w:rsidRPr="00433114" w:rsidRDefault="00A327D8" w:rsidP="00433114">
      <w:pPr>
        <w:spacing w:after="0" w:line="240" w:lineRule="auto"/>
        <w:ind w:firstLine="426"/>
        <w:jc w:val="both"/>
        <w:rPr>
          <w:rFonts w:ascii="Times New Roman" w:hAnsi="Times New Roman"/>
          <w:sz w:val="20"/>
          <w:szCs w:val="28"/>
        </w:rPr>
      </w:pPr>
    </w:p>
    <w:p w:rsidR="00EC1321" w:rsidRDefault="00EC1321" w:rsidP="00EC1321">
      <w:pPr>
        <w:spacing w:after="0" w:line="240" w:lineRule="auto"/>
        <w:jc w:val="both"/>
        <w:rPr>
          <w:rFonts w:ascii="Times New Roman" w:hAnsi="Times New Roman"/>
          <w:sz w:val="20"/>
          <w:szCs w:val="20"/>
        </w:rPr>
      </w:pPr>
      <w:r w:rsidRPr="007A2031">
        <w:rPr>
          <w:rFonts w:ascii="Times New Roman" w:hAnsi="Times New Roman"/>
          <w:b/>
          <w:sz w:val="20"/>
          <w:szCs w:val="20"/>
        </w:rPr>
        <w:t xml:space="preserve">Tabela </w:t>
      </w:r>
      <w:r>
        <w:rPr>
          <w:rFonts w:ascii="Times New Roman" w:hAnsi="Times New Roman"/>
          <w:b/>
          <w:sz w:val="20"/>
          <w:szCs w:val="20"/>
        </w:rPr>
        <w:t>4</w:t>
      </w:r>
      <w:r w:rsidRPr="007A2031">
        <w:rPr>
          <w:rFonts w:ascii="Times New Roman" w:hAnsi="Times New Roman"/>
          <w:sz w:val="20"/>
          <w:szCs w:val="20"/>
        </w:rPr>
        <w:t xml:space="preserve"> </w:t>
      </w:r>
      <w:proofErr w:type="gramStart"/>
      <w:r w:rsidRPr="007A2031">
        <w:rPr>
          <w:rFonts w:ascii="Times New Roman" w:hAnsi="Times New Roman"/>
          <w:sz w:val="20"/>
          <w:szCs w:val="20"/>
        </w:rPr>
        <w:t>–Estatística</w:t>
      </w:r>
      <w:proofErr w:type="gramEnd"/>
      <w:r w:rsidRPr="007A2031">
        <w:rPr>
          <w:rFonts w:ascii="Times New Roman" w:hAnsi="Times New Roman"/>
          <w:sz w:val="20"/>
          <w:szCs w:val="20"/>
        </w:rPr>
        <w:t xml:space="preserve"> descritiva (considerando: IEP, </w:t>
      </w:r>
    </w:p>
    <w:p w:rsidR="00EC1321" w:rsidRDefault="00EC1321" w:rsidP="00EC1321">
      <w:pPr>
        <w:spacing w:after="0" w:line="240" w:lineRule="auto"/>
        <w:jc w:val="both"/>
        <w:rPr>
          <w:rFonts w:ascii="Times New Roman" w:hAnsi="Times New Roman"/>
          <w:sz w:val="20"/>
          <w:szCs w:val="20"/>
        </w:rPr>
      </w:pPr>
      <w:proofErr w:type="gramStart"/>
      <w:r w:rsidRPr="007A2031">
        <w:rPr>
          <w:rFonts w:ascii="Times New Roman" w:hAnsi="Times New Roman"/>
          <w:sz w:val="20"/>
          <w:szCs w:val="20"/>
        </w:rPr>
        <w:t>limite</w:t>
      </w:r>
      <w:proofErr w:type="gramEnd"/>
      <w:r w:rsidRPr="007A2031">
        <w:rPr>
          <w:rFonts w:ascii="Times New Roman" w:hAnsi="Times New Roman"/>
          <w:sz w:val="20"/>
          <w:szCs w:val="20"/>
        </w:rPr>
        <w:t xml:space="preserve"> superior e limite inferior)</w:t>
      </w:r>
    </w:p>
    <w:p w:rsidR="00433114" w:rsidRDefault="00433114" w:rsidP="00F91DC8">
      <w:pPr>
        <w:spacing w:after="0" w:line="240" w:lineRule="auto"/>
        <w:jc w:val="both"/>
        <w:rPr>
          <w:rFonts w:ascii="Times New Roman" w:hAnsi="Times New Roman"/>
          <w:b/>
          <w:sz w:val="20"/>
          <w:szCs w:val="28"/>
        </w:rPr>
      </w:pPr>
    </w:p>
    <w:tbl>
      <w:tblPr>
        <w:tblpPr w:leftFromText="141" w:rightFromText="141" w:vertAnchor="text" w:horzAnchor="margin" w:tblpY="-43"/>
        <w:tblW w:w="4181" w:type="dxa"/>
        <w:tblCellMar>
          <w:left w:w="70" w:type="dxa"/>
          <w:right w:w="70" w:type="dxa"/>
        </w:tblCellMar>
        <w:tblLook w:val="04A0" w:firstRow="1" w:lastRow="0" w:firstColumn="1" w:lastColumn="0" w:noHBand="0" w:noVBand="1"/>
      </w:tblPr>
      <w:tblGrid>
        <w:gridCol w:w="646"/>
        <w:gridCol w:w="744"/>
        <w:gridCol w:w="684"/>
        <w:gridCol w:w="819"/>
        <w:gridCol w:w="700"/>
        <w:gridCol w:w="588"/>
      </w:tblGrid>
      <w:tr w:rsidR="00A327D8" w:rsidRPr="004824FB" w:rsidTr="00A327D8">
        <w:trPr>
          <w:trHeight w:val="287"/>
        </w:trPr>
        <w:tc>
          <w:tcPr>
            <w:tcW w:w="646" w:type="dxa"/>
            <w:tcBorders>
              <w:top w:val="single" w:sz="4" w:space="0" w:color="auto"/>
              <w:left w:val="nil"/>
              <w:bottom w:val="single" w:sz="8" w:space="0" w:color="auto"/>
              <w:right w:val="single" w:sz="4" w:space="0" w:color="auto"/>
            </w:tcBorders>
            <w:shd w:val="clear" w:color="000000" w:fill="D7E4BC"/>
            <w:noWrap/>
            <w:vAlign w:val="bottom"/>
            <w:hideMark/>
          </w:tcPr>
          <w:p w:rsidR="00A327D8" w:rsidRPr="004824FB" w:rsidRDefault="00A327D8" w:rsidP="00A327D8">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Meses</w:t>
            </w:r>
          </w:p>
        </w:tc>
        <w:tc>
          <w:tcPr>
            <w:tcW w:w="744" w:type="dxa"/>
            <w:tcBorders>
              <w:top w:val="single" w:sz="4" w:space="0" w:color="auto"/>
              <w:left w:val="nil"/>
              <w:bottom w:val="single" w:sz="8" w:space="0" w:color="auto"/>
              <w:right w:val="single" w:sz="4" w:space="0" w:color="auto"/>
            </w:tcBorders>
            <w:shd w:val="clear" w:color="000000" w:fill="D7E4BC"/>
            <w:noWrap/>
            <w:vAlign w:val="bottom"/>
            <w:hideMark/>
          </w:tcPr>
          <w:p w:rsidR="00A327D8" w:rsidRPr="004824FB" w:rsidRDefault="00A327D8" w:rsidP="00A327D8">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Limite Inferior</w:t>
            </w:r>
          </w:p>
        </w:tc>
        <w:tc>
          <w:tcPr>
            <w:tcW w:w="684" w:type="dxa"/>
            <w:tcBorders>
              <w:top w:val="single" w:sz="4" w:space="0" w:color="auto"/>
              <w:left w:val="nil"/>
              <w:bottom w:val="single" w:sz="8" w:space="0" w:color="auto"/>
              <w:right w:val="single" w:sz="4" w:space="0" w:color="auto"/>
            </w:tcBorders>
            <w:shd w:val="clear" w:color="000000" w:fill="D7E4BC"/>
            <w:noWrap/>
            <w:vAlign w:val="bottom"/>
            <w:hideMark/>
          </w:tcPr>
          <w:p w:rsidR="00A327D8" w:rsidRPr="004824FB" w:rsidRDefault="00A327D8" w:rsidP="00A327D8">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IEP</w:t>
            </w:r>
          </w:p>
        </w:tc>
        <w:tc>
          <w:tcPr>
            <w:tcW w:w="819" w:type="dxa"/>
            <w:tcBorders>
              <w:top w:val="single" w:sz="4" w:space="0" w:color="auto"/>
              <w:left w:val="nil"/>
              <w:bottom w:val="single" w:sz="8" w:space="0" w:color="auto"/>
              <w:right w:val="single" w:sz="4" w:space="0" w:color="auto"/>
            </w:tcBorders>
            <w:shd w:val="clear" w:color="000000" w:fill="D7E4BC"/>
            <w:noWrap/>
            <w:vAlign w:val="bottom"/>
            <w:hideMark/>
          </w:tcPr>
          <w:p w:rsidR="00A327D8" w:rsidRPr="004824FB" w:rsidRDefault="00A327D8" w:rsidP="00A327D8">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Limite Superior</w:t>
            </w:r>
          </w:p>
        </w:tc>
        <w:tc>
          <w:tcPr>
            <w:tcW w:w="700" w:type="dxa"/>
            <w:tcBorders>
              <w:top w:val="single" w:sz="4" w:space="0" w:color="auto"/>
              <w:left w:val="nil"/>
              <w:bottom w:val="single" w:sz="8" w:space="0" w:color="auto"/>
              <w:right w:val="single" w:sz="4" w:space="0" w:color="auto"/>
            </w:tcBorders>
            <w:shd w:val="clear" w:color="000000" w:fill="D7E4BC"/>
            <w:noWrap/>
            <w:vAlign w:val="bottom"/>
            <w:hideMark/>
          </w:tcPr>
          <w:p w:rsidR="00A327D8" w:rsidRPr="004824FB" w:rsidRDefault="00A327D8" w:rsidP="00A327D8">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Desvio Padrão</w:t>
            </w:r>
          </w:p>
        </w:tc>
        <w:tc>
          <w:tcPr>
            <w:tcW w:w="588" w:type="dxa"/>
            <w:tcBorders>
              <w:top w:val="single" w:sz="4" w:space="0" w:color="auto"/>
              <w:left w:val="nil"/>
              <w:bottom w:val="single" w:sz="8" w:space="0" w:color="auto"/>
              <w:right w:val="nil"/>
            </w:tcBorders>
            <w:shd w:val="clear" w:color="000000" w:fill="D7E4BC"/>
            <w:noWrap/>
            <w:vAlign w:val="bottom"/>
            <w:hideMark/>
          </w:tcPr>
          <w:p w:rsidR="00A327D8" w:rsidRPr="004824FB" w:rsidRDefault="00A327D8" w:rsidP="00A327D8">
            <w:pPr>
              <w:spacing w:after="0" w:line="240" w:lineRule="auto"/>
              <w:jc w:val="center"/>
              <w:rPr>
                <w:rFonts w:ascii="Times New Roman" w:eastAsia="Times New Roman" w:hAnsi="Times New Roman" w:cs="Times New Roman"/>
                <w:color w:val="000000"/>
                <w:sz w:val="18"/>
                <w:szCs w:val="18"/>
                <w:lang w:eastAsia="pt-BR"/>
              </w:rPr>
            </w:pPr>
            <w:r w:rsidRPr="004824FB">
              <w:rPr>
                <w:rFonts w:ascii="Times New Roman" w:eastAsia="Times New Roman" w:hAnsi="Times New Roman" w:cs="Times New Roman"/>
                <w:color w:val="000000"/>
                <w:sz w:val="18"/>
                <w:szCs w:val="18"/>
                <w:lang w:eastAsia="pt-BR"/>
              </w:rPr>
              <w:t>CV%</w:t>
            </w:r>
          </w:p>
        </w:tc>
      </w:tr>
      <w:tr w:rsidR="00A327D8" w:rsidRPr="004824FB" w:rsidTr="00A327D8">
        <w:trPr>
          <w:trHeight w:val="272"/>
        </w:trPr>
        <w:tc>
          <w:tcPr>
            <w:tcW w:w="646" w:type="dxa"/>
            <w:tcBorders>
              <w:top w:val="nil"/>
              <w:left w:val="nil"/>
              <w:bottom w:val="nil"/>
              <w:right w:val="single" w:sz="4" w:space="0" w:color="auto"/>
            </w:tcBorders>
            <w:shd w:val="clear" w:color="auto" w:fill="auto"/>
            <w:noWrap/>
            <w:vAlign w:val="bottom"/>
            <w:hideMark/>
          </w:tcPr>
          <w:p w:rsidR="00A327D8" w:rsidRPr="003C6F55" w:rsidRDefault="00A327D8" w:rsidP="00A327D8">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Jan</w:t>
            </w:r>
          </w:p>
        </w:tc>
        <w:tc>
          <w:tcPr>
            <w:tcW w:w="74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88,09</w:t>
            </w:r>
          </w:p>
        </w:tc>
        <w:tc>
          <w:tcPr>
            <w:tcW w:w="68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104,10</w:t>
            </w:r>
          </w:p>
        </w:tc>
        <w:tc>
          <w:tcPr>
            <w:tcW w:w="819"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113,68</w:t>
            </w:r>
          </w:p>
        </w:tc>
        <w:tc>
          <w:tcPr>
            <w:tcW w:w="700"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12,93</w:t>
            </w:r>
          </w:p>
        </w:tc>
        <w:tc>
          <w:tcPr>
            <w:tcW w:w="588"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12,68</w:t>
            </w:r>
          </w:p>
        </w:tc>
      </w:tr>
      <w:tr w:rsidR="00A327D8" w:rsidRPr="004824FB" w:rsidTr="00A327D8">
        <w:trPr>
          <w:trHeight w:val="272"/>
        </w:trPr>
        <w:tc>
          <w:tcPr>
            <w:tcW w:w="646" w:type="dxa"/>
            <w:tcBorders>
              <w:top w:val="nil"/>
              <w:left w:val="nil"/>
              <w:bottom w:val="nil"/>
              <w:right w:val="single" w:sz="4" w:space="0" w:color="auto"/>
            </w:tcBorders>
            <w:shd w:val="clear" w:color="auto" w:fill="auto"/>
            <w:noWrap/>
            <w:vAlign w:val="bottom"/>
            <w:hideMark/>
          </w:tcPr>
          <w:p w:rsidR="00A327D8" w:rsidRPr="003C6F55" w:rsidRDefault="00A327D8" w:rsidP="00A327D8">
            <w:pPr>
              <w:autoSpaceDN w:val="0"/>
              <w:spacing w:after="0" w:line="240" w:lineRule="auto"/>
              <w:jc w:val="center"/>
              <w:rPr>
                <w:rFonts w:ascii="Times New Roman" w:eastAsia="Times New Roman" w:hAnsi="Times New Roman" w:cs="Times New Roman"/>
                <w:color w:val="000000"/>
                <w:sz w:val="18"/>
                <w:szCs w:val="18"/>
                <w:lang w:eastAsia="pt-BR"/>
              </w:rPr>
            </w:pPr>
            <w:proofErr w:type="spellStart"/>
            <w:r w:rsidRPr="003C6F55">
              <w:rPr>
                <w:rFonts w:ascii="Times New Roman" w:hAnsi="Times New Roman" w:cs="Times New Roman"/>
                <w:color w:val="000000"/>
                <w:sz w:val="18"/>
                <w:szCs w:val="18"/>
                <w:lang w:eastAsia="pt-BR"/>
              </w:rPr>
              <w:t>Fev</w:t>
            </w:r>
            <w:proofErr w:type="spellEnd"/>
          </w:p>
        </w:tc>
        <w:tc>
          <w:tcPr>
            <w:tcW w:w="74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97,64</w:t>
            </w:r>
          </w:p>
        </w:tc>
        <w:tc>
          <w:tcPr>
            <w:tcW w:w="68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107,22</w:t>
            </w:r>
          </w:p>
        </w:tc>
        <w:tc>
          <w:tcPr>
            <w:tcW w:w="819"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116,81</w:t>
            </w:r>
          </w:p>
        </w:tc>
        <w:tc>
          <w:tcPr>
            <w:tcW w:w="700"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9,59</w:t>
            </w:r>
          </w:p>
        </w:tc>
        <w:tc>
          <w:tcPr>
            <w:tcW w:w="588"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8,94</w:t>
            </w:r>
          </w:p>
        </w:tc>
      </w:tr>
      <w:tr w:rsidR="00A327D8" w:rsidRPr="004824FB" w:rsidTr="00A327D8">
        <w:trPr>
          <w:trHeight w:val="272"/>
        </w:trPr>
        <w:tc>
          <w:tcPr>
            <w:tcW w:w="646" w:type="dxa"/>
            <w:tcBorders>
              <w:top w:val="nil"/>
              <w:left w:val="nil"/>
              <w:bottom w:val="nil"/>
              <w:right w:val="single" w:sz="4" w:space="0" w:color="auto"/>
            </w:tcBorders>
            <w:shd w:val="clear" w:color="auto" w:fill="auto"/>
            <w:noWrap/>
            <w:vAlign w:val="bottom"/>
            <w:hideMark/>
          </w:tcPr>
          <w:p w:rsidR="00A327D8" w:rsidRPr="003C6F55" w:rsidRDefault="00A327D8" w:rsidP="00A327D8">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Mar</w:t>
            </w:r>
          </w:p>
        </w:tc>
        <w:tc>
          <w:tcPr>
            <w:tcW w:w="74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100,13</w:t>
            </w:r>
          </w:p>
        </w:tc>
        <w:tc>
          <w:tcPr>
            <w:tcW w:w="68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107,97</w:t>
            </w:r>
          </w:p>
        </w:tc>
        <w:tc>
          <w:tcPr>
            <w:tcW w:w="819"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121,84</w:t>
            </w:r>
          </w:p>
        </w:tc>
        <w:tc>
          <w:tcPr>
            <w:tcW w:w="700"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11,00</w:t>
            </w:r>
          </w:p>
        </w:tc>
        <w:tc>
          <w:tcPr>
            <w:tcW w:w="588"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10,00</w:t>
            </w:r>
          </w:p>
        </w:tc>
      </w:tr>
      <w:tr w:rsidR="00A327D8" w:rsidRPr="004824FB" w:rsidTr="00A327D8">
        <w:trPr>
          <w:trHeight w:val="272"/>
        </w:trPr>
        <w:tc>
          <w:tcPr>
            <w:tcW w:w="646" w:type="dxa"/>
            <w:tcBorders>
              <w:top w:val="nil"/>
              <w:left w:val="nil"/>
              <w:bottom w:val="nil"/>
              <w:right w:val="single" w:sz="4" w:space="0" w:color="auto"/>
            </w:tcBorders>
            <w:shd w:val="clear" w:color="auto" w:fill="auto"/>
            <w:noWrap/>
            <w:vAlign w:val="bottom"/>
            <w:hideMark/>
          </w:tcPr>
          <w:p w:rsidR="00A327D8" w:rsidRPr="003C6F55" w:rsidRDefault="00A327D8" w:rsidP="00A327D8">
            <w:pPr>
              <w:autoSpaceDN w:val="0"/>
              <w:spacing w:after="0" w:line="240" w:lineRule="auto"/>
              <w:jc w:val="center"/>
              <w:rPr>
                <w:rFonts w:ascii="Times New Roman" w:eastAsia="Times New Roman" w:hAnsi="Times New Roman" w:cs="Times New Roman"/>
                <w:color w:val="000000"/>
                <w:sz w:val="18"/>
                <w:szCs w:val="18"/>
                <w:lang w:eastAsia="pt-BR"/>
              </w:rPr>
            </w:pPr>
            <w:proofErr w:type="spellStart"/>
            <w:r w:rsidRPr="003C6F55">
              <w:rPr>
                <w:rFonts w:ascii="Times New Roman" w:hAnsi="Times New Roman" w:cs="Times New Roman"/>
                <w:color w:val="000000"/>
                <w:sz w:val="18"/>
                <w:szCs w:val="18"/>
                <w:lang w:eastAsia="pt-BR"/>
              </w:rPr>
              <w:t>Abr</w:t>
            </w:r>
            <w:proofErr w:type="spellEnd"/>
          </w:p>
        </w:tc>
        <w:tc>
          <w:tcPr>
            <w:tcW w:w="74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100,36</w:t>
            </w:r>
          </w:p>
        </w:tc>
        <w:tc>
          <w:tcPr>
            <w:tcW w:w="68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111,28</w:t>
            </w:r>
          </w:p>
        </w:tc>
        <w:tc>
          <w:tcPr>
            <w:tcW w:w="819"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128,46</w:t>
            </w:r>
          </w:p>
        </w:tc>
        <w:tc>
          <w:tcPr>
            <w:tcW w:w="700"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14,17</w:t>
            </w:r>
          </w:p>
        </w:tc>
        <w:tc>
          <w:tcPr>
            <w:tcW w:w="588"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12,50</w:t>
            </w:r>
          </w:p>
        </w:tc>
      </w:tr>
      <w:tr w:rsidR="00A327D8" w:rsidRPr="004824FB" w:rsidTr="00A327D8">
        <w:trPr>
          <w:trHeight w:val="272"/>
        </w:trPr>
        <w:tc>
          <w:tcPr>
            <w:tcW w:w="646" w:type="dxa"/>
            <w:tcBorders>
              <w:top w:val="nil"/>
              <w:left w:val="nil"/>
              <w:bottom w:val="nil"/>
              <w:right w:val="single" w:sz="4" w:space="0" w:color="auto"/>
            </w:tcBorders>
            <w:shd w:val="clear" w:color="auto" w:fill="auto"/>
            <w:noWrap/>
            <w:vAlign w:val="bottom"/>
            <w:hideMark/>
          </w:tcPr>
          <w:p w:rsidR="00A327D8" w:rsidRPr="003C6F55" w:rsidRDefault="00A327D8" w:rsidP="00A327D8">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Mai</w:t>
            </w:r>
          </w:p>
        </w:tc>
        <w:tc>
          <w:tcPr>
            <w:tcW w:w="74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96,37</w:t>
            </w:r>
          </w:p>
        </w:tc>
        <w:tc>
          <w:tcPr>
            <w:tcW w:w="68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107,19</w:t>
            </w:r>
          </w:p>
        </w:tc>
        <w:tc>
          <w:tcPr>
            <w:tcW w:w="819"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117,82</w:t>
            </w:r>
          </w:p>
        </w:tc>
        <w:tc>
          <w:tcPr>
            <w:tcW w:w="700"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10,72</w:t>
            </w:r>
          </w:p>
        </w:tc>
        <w:tc>
          <w:tcPr>
            <w:tcW w:w="588"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10,01</w:t>
            </w:r>
          </w:p>
        </w:tc>
      </w:tr>
      <w:tr w:rsidR="00A327D8" w:rsidRPr="004824FB" w:rsidTr="00A327D8">
        <w:trPr>
          <w:trHeight w:val="272"/>
        </w:trPr>
        <w:tc>
          <w:tcPr>
            <w:tcW w:w="646" w:type="dxa"/>
            <w:tcBorders>
              <w:top w:val="nil"/>
              <w:left w:val="nil"/>
              <w:bottom w:val="nil"/>
              <w:right w:val="single" w:sz="4" w:space="0" w:color="auto"/>
            </w:tcBorders>
            <w:shd w:val="clear" w:color="auto" w:fill="auto"/>
            <w:noWrap/>
            <w:vAlign w:val="bottom"/>
            <w:hideMark/>
          </w:tcPr>
          <w:p w:rsidR="00A327D8" w:rsidRPr="003C6F55" w:rsidRDefault="00A327D8" w:rsidP="00A327D8">
            <w:pPr>
              <w:autoSpaceDN w:val="0"/>
              <w:spacing w:after="0" w:line="240" w:lineRule="auto"/>
              <w:jc w:val="center"/>
              <w:rPr>
                <w:rFonts w:ascii="Times New Roman" w:eastAsia="Times New Roman" w:hAnsi="Times New Roman" w:cs="Times New Roman"/>
                <w:color w:val="000000"/>
                <w:sz w:val="18"/>
                <w:szCs w:val="18"/>
                <w:lang w:eastAsia="pt-BR"/>
              </w:rPr>
            </w:pPr>
            <w:proofErr w:type="spellStart"/>
            <w:r w:rsidRPr="003C6F55">
              <w:rPr>
                <w:rFonts w:ascii="Times New Roman" w:hAnsi="Times New Roman" w:cs="Times New Roman"/>
                <w:color w:val="000000"/>
                <w:sz w:val="18"/>
                <w:szCs w:val="18"/>
                <w:lang w:eastAsia="pt-BR"/>
              </w:rPr>
              <w:t>Jun</w:t>
            </w:r>
            <w:proofErr w:type="spellEnd"/>
          </w:p>
        </w:tc>
        <w:tc>
          <w:tcPr>
            <w:tcW w:w="74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91,43</w:t>
            </w:r>
          </w:p>
        </w:tc>
        <w:tc>
          <w:tcPr>
            <w:tcW w:w="68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100,61</w:t>
            </w:r>
          </w:p>
        </w:tc>
        <w:tc>
          <w:tcPr>
            <w:tcW w:w="819"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116,17</w:t>
            </w:r>
          </w:p>
        </w:tc>
        <w:tc>
          <w:tcPr>
            <w:tcW w:w="700"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12,51</w:t>
            </w:r>
          </w:p>
        </w:tc>
        <w:tc>
          <w:tcPr>
            <w:tcW w:w="588"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12,17</w:t>
            </w:r>
          </w:p>
        </w:tc>
      </w:tr>
      <w:tr w:rsidR="00A327D8" w:rsidRPr="004824FB" w:rsidTr="00A327D8">
        <w:trPr>
          <w:trHeight w:val="272"/>
        </w:trPr>
        <w:tc>
          <w:tcPr>
            <w:tcW w:w="646" w:type="dxa"/>
            <w:tcBorders>
              <w:top w:val="nil"/>
              <w:left w:val="nil"/>
              <w:bottom w:val="nil"/>
              <w:right w:val="single" w:sz="4" w:space="0" w:color="auto"/>
            </w:tcBorders>
            <w:shd w:val="clear" w:color="auto" w:fill="auto"/>
            <w:noWrap/>
            <w:vAlign w:val="bottom"/>
            <w:hideMark/>
          </w:tcPr>
          <w:p w:rsidR="00A327D8" w:rsidRPr="003C6F55" w:rsidRDefault="00A327D8" w:rsidP="00A327D8">
            <w:pPr>
              <w:autoSpaceDN w:val="0"/>
              <w:spacing w:after="0" w:line="240" w:lineRule="auto"/>
              <w:jc w:val="center"/>
              <w:rPr>
                <w:rFonts w:ascii="Times New Roman" w:eastAsia="Times New Roman" w:hAnsi="Times New Roman" w:cs="Times New Roman"/>
                <w:color w:val="000000"/>
                <w:sz w:val="18"/>
                <w:szCs w:val="18"/>
                <w:lang w:eastAsia="pt-BR"/>
              </w:rPr>
            </w:pPr>
            <w:proofErr w:type="spellStart"/>
            <w:r w:rsidRPr="003C6F55">
              <w:rPr>
                <w:rFonts w:ascii="Times New Roman" w:hAnsi="Times New Roman" w:cs="Times New Roman"/>
                <w:color w:val="000000"/>
                <w:sz w:val="18"/>
                <w:szCs w:val="18"/>
                <w:lang w:eastAsia="pt-BR"/>
              </w:rPr>
              <w:t>Jul</w:t>
            </w:r>
            <w:proofErr w:type="spellEnd"/>
          </w:p>
        </w:tc>
        <w:tc>
          <w:tcPr>
            <w:tcW w:w="74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86,11</w:t>
            </w:r>
          </w:p>
        </w:tc>
        <w:tc>
          <w:tcPr>
            <w:tcW w:w="68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94,45</w:t>
            </w:r>
          </w:p>
        </w:tc>
        <w:tc>
          <w:tcPr>
            <w:tcW w:w="819"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106,40</w:t>
            </w:r>
          </w:p>
        </w:tc>
        <w:tc>
          <w:tcPr>
            <w:tcW w:w="700"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10,20</w:t>
            </w:r>
          </w:p>
        </w:tc>
        <w:tc>
          <w:tcPr>
            <w:tcW w:w="588"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10,66</w:t>
            </w:r>
          </w:p>
        </w:tc>
      </w:tr>
      <w:tr w:rsidR="00A327D8" w:rsidRPr="004824FB" w:rsidTr="00A327D8">
        <w:trPr>
          <w:trHeight w:val="272"/>
        </w:trPr>
        <w:tc>
          <w:tcPr>
            <w:tcW w:w="646" w:type="dxa"/>
            <w:tcBorders>
              <w:top w:val="nil"/>
              <w:left w:val="nil"/>
              <w:bottom w:val="nil"/>
              <w:right w:val="single" w:sz="4" w:space="0" w:color="auto"/>
            </w:tcBorders>
            <w:shd w:val="clear" w:color="auto" w:fill="auto"/>
            <w:noWrap/>
            <w:vAlign w:val="bottom"/>
            <w:hideMark/>
          </w:tcPr>
          <w:p w:rsidR="00A327D8" w:rsidRPr="003C6F55" w:rsidRDefault="00A327D8" w:rsidP="00A327D8">
            <w:pPr>
              <w:autoSpaceDN w:val="0"/>
              <w:spacing w:after="0" w:line="240" w:lineRule="auto"/>
              <w:jc w:val="center"/>
              <w:rPr>
                <w:rFonts w:ascii="Times New Roman" w:eastAsia="Times New Roman" w:hAnsi="Times New Roman" w:cs="Times New Roman"/>
                <w:color w:val="000000"/>
                <w:sz w:val="18"/>
                <w:szCs w:val="18"/>
                <w:lang w:eastAsia="pt-BR"/>
              </w:rPr>
            </w:pPr>
            <w:proofErr w:type="spellStart"/>
            <w:r w:rsidRPr="003C6F55">
              <w:rPr>
                <w:rFonts w:ascii="Times New Roman" w:hAnsi="Times New Roman" w:cs="Times New Roman"/>
                <w:color w:val="000000"/>
                <w:sz w:val="18"/>
                <w:szCs w:val="18"/>
                <w:lang w:eastAsia="pt-BR"/>
              </w:rPr>
              <w:t>Ago</w:t>
            </w:r>
            <w:proofErr w:type="spellEnd"/>
          </w:p>
        </w:tc>
        <w:tc>
          <w:tcPr>
            <w:tcW w:w="74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83,82</w:t>
            </w:r>
          </w:p>
        </w:tc>
        <w:tc>
          <w:tcPr>
            <w:tcW w:w="68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91,66</w:t>
            </w:r>
          </w:p>
        </w:tc>
        <w:tc>
          <w:tcPr>
            <w:tcW w:w="819"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101,31</w:t>
            </w:r>
          </w:p>
        </w:tc>
        <w:tc>
          <w:tcPr>
            <w:tcW w:w="700"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8,76</w:t>
            </w:r>
          </w:p>
        </w:tc>
        <w:tc>
          <w:tcPr>
            <w:tcW w:w="588"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9,49</w:t>
            </w:r>
          </w:p>
        </w:tc>
      </w:tr>
      <w:tr w:rsidR="00A327D8" w:rsidRPr="004824FB" w:rsidTr="00A327D8">
        <w:trPr>
          <w:trHeight w:val="272"/>
        </w:trPr>
        <w:tc>
          <w:tcPr>
            <w:tcW w:w="646" w:type="dxa"/>
            <w:tcBorders>
              <w:top w:val="nil"/>
              <w:left w:val="nil"/>
              <w:bottom w:val="nil"/>
              <w:right w:val="single" w:sz="4" w:space="0" w:color="auto"/>
            </w:tcBorders>
            <w:shd w:val="clear" w:color="auto" w:fill="auto"/>
            <w:noWrap/>
            <w:vAlign w:val="bottom"/>
            <w:hideMark/>
          </w:tcPr>
          <w:p w:rsidR="00A327D8" w:rsidRPr="003C6F55" w:rsidRDefault="00A327D8" w:rsidP="00A327D8">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Set</w:t>
            </w:r>
          </w:p>
        </w:tc>
        <w:tc>
          <w:tcPr>
            <w:tcW w:w="74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78,98</w:t>
            </w:r>
          </w:p>
        </w:tc>
        <w:tc>
          <w:tcPr>
            <w:tcW w:w="68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93,11</w:t>
            </w:r>
          </w:p>
        </w:tc>
        <w:tc>
          <w:tcPr>
            <w:tcW w:w="819"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104,05</w:t>
            </w:r>
          </w:p>
        </w:tc>
        <w:tc>
          <w:tcPr>
            <w:tcW w:w="700"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12,57</w:t>
            </w:r>
          </w:p>
        </w:tc>
        <w:tc>
          <w:tcPr>
            <w:tcW w:w="588"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13,66</w:t>
            </w:r>
          </w:p>
        </w:tc>
      </w:tr>
      <w:tr w:rsidR="00A327D8" w:rsidRPr="004824FB" w:rsidTr="00A327D8">
        <w:trPr>
          <w:trHeight w:val="272"/>
        </w:trPr>
        <w:tc>
          <w:tcPr>
            <w:tcW w:w="646" w:type="dxa"/>
            <w:tcBorders>
              <w:top w:val="nil"/>
              <w:left w:val="nil"/>
              <w:bottom w:val="nil"/>
              <w:right w:val="single" w:sz="4" w:space="0" w:color="auto"/>
            </w:tcBorders>
            <w:shd w:val="clear" w:color="auto" w:fill="auto"/>
            <w:noWrap/>
            <w:vAlign w:val="bottom"/>
            <w:hideMark/>
          </w:tcPr>
          <w:p w:rsidR="00A327D8" w:rsidRPr="003C6F55" w:rsidRDefault="00A327D8" w:rsidP="00A327D8">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Out</w:t>
            </w:r>
          </w:p>
        </w:tc>
        <w:tc>
          <w:tcPr>
            <w:tcW w:w="74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83,75</w:t>
            </w:r>
          </w:p>
        </w:tc>
        <w:tc>
          <w:tcPr>
            <w:tcW w:w="68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94,19</w:t>
            </w:r>
          </w:p>
        </w:tc>
        <w:tc>
          <w:tcPr>
            <w:tcW w:w="819"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103,87</w:t>
            </w:r>
          </w:p>
        </w:tc>
        <w:tc>
          <w:tcPr>
            <w:tcW w:w="700"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10,06</w:t>
            </w:r>
          </w:p>
        </w:tc>
        <w:tc>
          <w:tcPr>
            <w:tcW w:w="588"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10,71</w:t>
            </w:r>
          </w:p>
        </w:tc>
      </w:tr>
      <w:tr w:rsidR="00A327D8" w:rsidRPr="004824FB" w:rsidTr="00A327D8">
        <w:trPr>
          <w:trHeight w:val="272"/>
        </w:trPr>
        <w:tc>
          <w:tcPr>
            <w:tcW w:w="646" w:type="dxa"/>
            <w:tcBorders>
              <w:top w:val="nil"/>
              <w:left w:val="nil"/>
              <w:bottom w:val="nil"/>
              <w:right w:val="single" w:sz="4" w:space="0" w:color="auto"/>
            </w:tcBorders>
            <w:shd w:val="clear" w:color="auto" w:fill="auto"/>
            <w:noWrap/>
            <w:vAlign w:val="bottom"/>
            <w:hideMark/>
          </w:tcPr>
          <w:p w:rsidR="00A327D8" w:rsidRPr="003C6F55" w:rsidRDefault="00A327D8" w:rsidP="00A327D8">
            <w:pPr>
              <w:autoSpaceDN w:val="0"/>
              <w:spacing w:after="0" w:line="240" w:lineRule="auto"/>
              <w:jc w:val="center"/>
              <w:rPr>
                <w:rFonts w:ascii="Times New Roman" w:eastAsia="Times New Roman" w:hAnsi="Times New Roman" w:cs="Times New Roman"/>
                <w:color w:val="000000"/>
                <w:sz w:val="18"/>
                <w:szCs w:val="18"/>
                <w:lang w:eastAsia="pt-BR"/>
              </w:rPr>
            </w:pPr>
            <w:proofErr w:type="spellStart"/>
            <w:r w:rsidRPr="003C6F55">
              <w:rPr>
                <w:rFonts w:ascii="Times New Roman" w:hAnsi="Times New Roman" w:cs="Times New Roman"/>
                <w:color w:val="000000"/>
                <w:sz w:val="18"/>
                <w:szCs w:val="18"/>
                <w:lang w:eastAsia="pt-BR"/>
              </w:rPr>
              <w:t>Nov</w:t>
            </w:r>
            <w:proofErr w:type="spellEnd"/>
          </w:p>
        </w:tc>
        <w:tc>
          <w:tcPr>
            <w:tcW w:w="74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75,06</w:t>
            </w:r>
          </w:p>
        </w:tc>
        <w:tc>
          <w:tcPr>
            <w:tcW w:w="684"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92,05</w:t>
            </w:r>
          </w:p>
        </w:tc>
        <w:tc>
          <w:tcPr>
            <w:tcW w:w="819"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100,67</w:t>
            </w:r>
          </w:p>
        </w:tc>
        <w:tc>
          <w:tcPr>
            <w:tcW w:w="700"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13,03</w:t>
            </w:r>
          </w:p>
        </w:tc>
        <w:tc>
          <w:tcPr>
            <w:tcW w:w="588" w:type="dxa"/>
            <w:tcBorders>
              <w:top w:val="nil"/>
              <w:left w:val="nil"/>
              <w:bottom w:val="nil"/>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14,60</w:t>
            </w:r>
          </w:p>
        </w:tc>
      </w:tr>
      <w:tr w:rsidR="00A327D8" w:rsidRPr="004824FB" w:rsidTr="00A327D8">
        <w:trPr>
          <w:trHeight w:val="287"/>
        </w:trPr>
        <w:tc>
          <w:tcPr>
            <w:tcW w:w="646" w:type="dxa"/>
            <w:tcBorders>
              <w:top w:val="nil"/>
              <w:left w:val="nil"/>
              <w:bottom w:val="single" w:sz="8" w:space="0" w:color="auto"/>
              <w:right w:val="single" w:sz="4" w:space="0" w:color="auto"/>
            </w:tcBorders>
            <w:shd w:val="clear" w:color="auto" w:fill="auto"/>
            <w:noWrap/>
            <w:vAlign w:val="bottom"/>
            <w:hideMark/>
          </w:tcPr>
          <w:p w:rsidR="00A327D8" w:rsidRPr="003C6F55" w:rsidRDefault="00A327D8" w:rsidP="00A327D8">
            <w:pPr>
              <w:autoSpaceDN w:val="0"/>
              <w:spacing w:after="0" w:line="240" w:lineRule="auto"/>
              <w:jc w:val="center"/>
              <w:rPr>
                <w:rFonts w:ascii="Times New Roman" w:eastAsia="Times New Roman" w:hAnsi="Times New Roman" w:cs="Times New Roman"/>
                <w:color w:val="000000"/>
                <w:sz w:val="18"/>
                <w:szCs w:val="18"/>
                <w:lang w:eastAsia="pt-BR"/>
              </w:rPr>
            </w:pPr>
            <w:r w:rsidRPr="003C6F55">
              <w:rPr>
                <w:rFonts w:ascii="Times New Roman" w:hAnsi="Times New Roman" w:cs="Times New Roman"/>
                <w:color w:val="000000"/>
                <w:sz w:val="18"/>
                <w:szCs w:val="18"/>
                <w:lang w:eastAsia="pt-BR"/>
              </w:rPr>
              <w:t>Dez</w:t>
            </w:r>
          </w:p>
        </w:tc>
        <w:tc>
          <w:tcPr>
            <w:tcW w:w="744" w:type="dxa"/>
            <w:tcBorders>
              <w:top w:val="nil"/>
              <w:left w:val="nil"/>
              <w:bottom w:val="single" w:sz="8" w:space="0" w:color="auto"/>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76,81</w:t>
            </w:r>
          </w:p>
        </w:tc>
        <w:tc>
          <w:tcPr>
            <w:tcW w:w="684" w:type="dxa"/>
            <w:tcBorders>
              <w:top w:val="nil"/>
              <w:left w:val="nil"/>
              <w:bottom w:val="single" w:sz="8" w:space="0" w:color="auto"/>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94,65</w:t>
            </w:r>
          </w:p>
        </w:tc>
        <w:tc>
          <w:tcPr>
            <w:tcW w:w="819" w:type="dxa"/>
            <w:tcBorders>
              <w:top w:val="nil"/>
              <w:left w:val="nil"/>
              <w:bottom w:val="single" w:sz="8" w:space="0" w:color="auto"/>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107,12</w:t>
            </w:r>
          </w:p>
        </w:tc>
        <w:tc>
          <w:tcPr>
            <w:tcW w:w="700" w:type="dxa"/>
            <w:tcBorders>
              <w:top w:val="nil"/>
              <w:left w:val="nil"/>
              <w:bottom w:val="single" w:sz="8" w:space="0" w:color="auto"/>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15,23</w:t>
            </w:r>
          </w:p>
        </w:tc>
        <w:tc>
          <w:tcPr>
            <w:tcW w:w="588" w:type="dxa"/>
            <w:tcBorders>
              <w:top w:val="nil"/>
              <w:left w:val="nil"/>
              <w:bottom w:val="single" w:sz="8" w:space="0" w:color="auto"/>
              <w:right w:val="nil"/>
            </w:tcBorders>
            <w:shd w:val="clear" w:color="auto" w:fill="auto"/>
            <w:noWrap/>
            <w:vAlign w:val="bottom"/>
            <w:hideMark/>
          </w:tcPr>
          <w:p w:rsidR="00A327D8" w:rsidRPr="00EC1321" w:rsidRDefault="00A327D8" w:rsidP="00A327D8">
            <w:pPr>
              <w:autoSpaceDN w:val="0"/>
              <w:spacing w:after="0"/>
              <w:jc w:val="center"/>
              <w:rPr>
                <w:rFonts w:ascii="Times New Roman" w:eastAsia="Times New Roman" w:hAnsi="Times New Roman" w:cs="Times New Roman"/>
                <w:color w:val="000000"/>
                <w:sz w:val="18"/>
                <w:szCs w:val="18"/>
                <w:lang w:eastAsia="pt-BR"/>
              </w:rPr>
            </w:pPr>
            <w:r w:rsidRPr="00EC1321">
              <w:rPr>
                <w:rFonts w:ascii="Times New Roman" w:hAnsi="Times New Roman" w:cs="Times New Roman"/>
                <w:color w:val="000000"/>
                <w:sz w:val="18"/>
                <w:szCs w:val="18"/>
                <w:lang w:eastAsia="pt-BR"/>
              </w:rPr>
              <w:t>16,41</w:t>
            </w:r>
          </w:p>
        </w:tc>
      </w:tr>
    </w:tbl>
    <w:p w:rsidR="00433114" w:rsidRDefault="00433114"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C1321" w:rsidRDefault="00EC1321" w:rsidP="00F91DC8">
      <w:pPr>
        <w:spacing w:after="0" w:line="240" w:lineRule="auto"/>
        <w:jc w:val="both"/>
        <w:rPr>
          <w:rFonts w:ascii="Times New Roman" w:hAnsi="Times New Roman"/>
          <w:b/>
          <w:sz w:val="20"/>
          <w:szCs w:val="28"/>
        </w:rPr>
      </w:pPr>
    </w:p>
    <w:p w:rsidR="00E24260" w:rsidRPr="00E94800" w:rsidRDefault="00E24260" w:rsidP="00F91DC8">
      <w:pPr>
        <w:spacing w:after="0" w:line="240" w:lineRule="auto"/>
        <w:jc w:val="both"/>
        <w:rPr>
          <w:rFonts w:ascii="Times New Roman" w:hAnsi="Times New Roman"/>
          <w:b/>
          <w:sz w:val="20"/>
          <w:szCs w:val="28"/>
        </w:rPr>
      </w:pPr>
      <w:r w:rsidRPr="00E94800">
        <w:rPr>
          <w:rFonts w:ascii="Times New Roman" w:hAnsi="Times New Roman"/>
          <w:b/>
          <w:sz w:val="20"/>
          <w:szCs w:val="28"/>
        </w:rPr>
        <w:t>CONCLUSÕES</w:t>
      </w:r>
    </w:p>
    <w:p w:rsidR="00E24260" w:rsidRPr="00E24260" w:rsidRDefault="00E24260" w:rsidP="00F91DC8">
      <w:pPr>
        <w:spacing w:after="0" w:line="240" w:lineRule="auto"/>
        <w:ind w:firstLine="425"/>
        <w:jc w:val="both"/>
        <w:rPr>
          <w:rFonts w:ascii="Times New Roman" w:hAnsi="Times New Roman"/>
          <w:b/>
          <w:sz w:val="20"/>
          <w:szCs w:val="20"/>
        </w:rPr>
      </w:pPr>
    </w:p>
    <w:p w:rsidR="00003B9B" w:rsidRDefault="00003B9B" w:rsidP="00003B9B">
      <w:pPr>
        <w:spacing w:after="0" w:line="240" w:lineRule="auto"/>
        <w:ind w:firstLine="425"/>
        <w:jc w:val="both"/>
        <w:rPr>
          <w:rFonts w:ascii="Times New Roman" w:hAnsi="Times New Roman"/>
          <w:sz w:val="20"/>
          <w:szCs w:val="20"/>
        </w:rPr>
      </w:pPr>
      <w:r w:rsidRPr="00003B9B">
        <w:rPr>
          <w:rFonts w:ascii="Times New Roman" w:hAnsi="Times New Roman"/>
          <w:sz w:val="20"/>
          <w:szCs w:val="20"/>
        </w:rPr>
        <w:t>As culturas de milho e feijão apresentam padrões distintos de sazonalidade, podendo esta característica servir de base para o planejamento de produt</w:t>
      </w:r>
      <w:r>
        <w:rPr>
          <w:rFonts w:ascii="Times New Roman" w:hAnsi="Times New Roman"/>
          <w:sz w:val="20"/>
          <w:szCs w:val="20"/>
        </w:rPr>
        <w:t xml:space="preserve">ores e também de consumidores. </w:t>
      </w:r>
    </w:p>
    <w:p w:rsidR="00003B9B" w:rsidRDefault="00003B9B" w:rsidP="00003B9B">
      <w:pPr>
        <w:spacing w:after="0" w:line="240" w:lineRule="auto"/>
        <w:ind w:firstLine="425"/>
        <w:jc w:val="both"/>
        <w:rPr>
          <w:rFonts w:ascii="Times New Roman" w:hAnsi="Times New Roman"/>
          <w:sz w:val="20"/>
          <w:szCs w:val="20"/>
        </w:rPr>
      </w:pPr>
    </w:p>
    <w:p w:rsidR="004373E9" w:rsidRDefault="00003B9B" w:rsidP="00003B9B">
      <w:pPr>
        <w:spacing w:after="0" w:line="240" w:lineRule="auto"/>
        <w:ind w:firstLine="425"/>
        <w:jc w:val="both"/>
        <w:rPr>
          <w:rFonts w:ascii="Times New Roman" w:hAnsi="Times New Roman"/>
          <w:sz w:val="20"/>
          <w:szCs w:val="20"/>
        </w:rPr>
      </w:pPr>
      <w:r w:rsidRPr="00003B9B">
        <w:rPr>
          <w:rFonts w:ascii="Times New Roman" w:hAnsi="Times New Roman"/>
          <w:sz w:val="20"/>
          <w:szCs w:val="20"/>
        </w:rPr>
        <w:t>O feijão verde possui períod</w:t>
      </w:r>
      <w:r>
        <w:rPr>
          <w:rFonts w:ascii="Times New Roman" w:hAnsi="Times New Roman"/>
          <w:sz w:val="20"/>
          <w:szCs w:val="20"/>
        </w:rPr>
        <w:t xml:space="preserve">o de safra de abril </w:t>
      </w:r>
      <w:proofErr w:type="gramStart"/>
      <w:r>
        <w:rPr>
          <w:rFonts w:ascii="Times New Roman" w:hAnsi="Times New Roman"/>
          <w:sz w:val="20"/>
          <w:szCs w:val="20"/>
        </w:rPr>
        <w:t>à</w:t>
      </w:r>
      <w:proofErr w:type="gramEnd"/>
      <w:r>
        <w:rPr>
          <w:rFonts w:ascii="Times New Roman" w:hAnsi="Times New Roman"/>
          <w:sz w:val="20"/>
          <w:szCs w:val="20"/>
        </w:rPr>
        <w:t xml:space="preserve"> outubro. </w:t>
      </w:r>
      <w:r w:rsidRPr="00003B9B">
        <w:rPr>
          <w:rFonts w:ascii="Times New Roman" w:hAnsi="Times New Roman"/>
          <w:sz w:val="20"/>
          <w:szCs w:val="20"/>
        </w:rPr>
        <w:t xml:space="preserve">O feijão seco apresenta período de safra </w:t>
      </w:r>
      <w:r>
        <w:rPr>
          <w:rFonts w:ascii="Times New Roman" w:hAnsi="Times New Roman"/>
          <w:sz w:val="20"/>
          <w:szCs w:val="20"/>
        </w:rPr>
        <w:t xml:space="preserve">no período de maio </w:t>
      </w:r>
      <w:proofErr w:type="gramStart"/>
      <w:r>
        <w:rPr>
          <w:rFonts w:ascii="Times New Roman" w:hAnsi="Times New Roman"/>
          <w:sz w:val="20"/>
          <w:szCs w:val="20"/>
        </w:rPr>
        <w:t>à</w:t>
      </w:r>
      <w:proofErr w:type="gramEnd"/>
      <w:r>
        <w:rPr>
          <w:rFonts w:ascii="Times New Roman" w:hAnsi="Times New Roman"/>
          <w:sz w:val="20"/>
          <w:szCs w:val="20"/>
        </w:rPr>
        <w:t xml:space="preserve"> setembro. </w:t>
      </w:r>
      <w:r w:rsidRPr="00003B9B">
        <w:rPr>
          <w:rFonts w:ascii="Times New Roman" w:hAnsi="Times New Roman"/>
          <w:sz w:val="20"/>
          <w:szCs w:val="20"/>
        </w:rPr>
        <w:t xml:space="preserve">Na cultura do milho, considerando o milho verde </w:t>
      </w:r>
      <w:proofErr w:type="gramStart"/>
      <w:r w:rsidRPr="00003B9B">
        <w:rPr>
          <w:rFonts w:ascii="Times New Roman" w:hAnsi="Times New Roman"/>
          <w:sz w:val="20"/>
          <w:szCs w:val="20"/>
        </w:rPr>
        <w:t>e</w:t>
      </w:r>
      <w:proofErr w:type="gramEnd"/>
      <w:r w:rsidRPr="00003B9B">
        <w:rPr>
          <w:rFonts w:ascii="Times New Roman" w:hAnsi="Times New Roman"/>
          <w:sz w:val="20"/>
          <w:szCs w:val="20"/>
        </w:rPr>
        <w:t xml:space="preserve"> </w:t>
      </w:r>
    </w:p>
    <w:p w:rsidR="00D82B41" w:rsidRDefault="00003B9B" w:rsidP="0019170D">
      <w:pPr>
        <w:spacing w:after="0" w:line="240" w:lineRule="auto"/>
        <w:jc w:val="both"/>
        <w:rPr>
          <w:rFonts w:ascii="Times New Roman" w:hAnsi="Times New Roman"/>
          <w:sz w:val="20"/>
          <w:szCs w:val="20"/>
        </w:rPr>
      </w:pPr>
      <w:proofErr w:type="gramStart"/>
      <w:r w:rsidRPr="00003B9B">
        <w:rPr>
          <w:rFonts w:ascii="Times New Roman" w:hAnsi="Times New Roman"/>
          <w:sz w:val="20"/>
          <w:szCs w:val="20"/>
        </w:rPr>
        <w:t>o</w:t>
      </w:r>
      <w:proofErr w:type="gramEnd"/>
      <w:r w:rsidRPr="00003B9B">
        <w:rPr>
          <w:rFonts w:ascii="Times New Roman" w:hAnsi="Times New Roman"/>
          <w:sz w:val="20"/>
          <w:szCs w:val="20"/>
        </w:rPr>
        <w:t xml:space="preserve"> milho grão, os períodos de safra foram, respectivamente, de abril à maio e julho à dezembro.</w:t>
      </w:r>
    </w:p>
    <w:p w:rsidR="00B72C8C" w:rsidRDefault="00B72C8C" w:rsidP="00D82B41">
      <w:pPr>
        <w:spacing w:after="0" w:line="240" w:lineRule="auto"/>
        <w:jc w:val="both"/>
        <w:rPr>
          <w:rFonts w:ascii="Times New Roman" w:hAnsi="Times New Roman"/>
          <w:b/>
          <w:sz w:val="20"/>
          <w:szCs w:val="28"/>
        </w:rPr>
      </w:pPr>
    </w:p>
    <w:p w:rsidR="0019170D" w:rsidRDefault="0019170D" w:rsidP="00D82B41">
      <w:pPr>
        <w:spacing w:after="0" w:line="240" w:lineRule="auto"/>
        <w:jc w:val="both"/>
        <w:rPr>
          <w:rFonts w:ascii="Times New Roman" w:hAnsi="Times New Roman"/>
          <w:b/>
          <w:sz w:val="20"/>
          <w:szCs w:val="28"/>
        </w:rPr>
      </w:pPr>
    </w:p>
    <w:p w:rsidR="00D82B41" w:rsidRPr="00E94800" w:rsidRDefault="00D82B41" w:rsidP="00D82B41">
      <w:pPr>
        <w:spacing w:after="0" w:line="240" w:lineRule="auto"/>
        <w:jc w:val="both"/>
        <w:rPr>
          <w:rFonts w:ascii="Times New Roman" w:hAnsi="Times New Roman"/>
          <w:b/>
          <w:sz w:val="20"/>
          <w:szCs w:val="28"/>
        </w:rPr>
      </w:pPr>
      <w:r w:rsidRPr="00E94800">
        <w:rPr>
          <w:rFonts w:ascii="Times New Roman" w:hAnsi="Times New Roman"/>
          <w:b/>
          <w:sz w:val="20"/>
          <w:szCs w:val="28"/>
        </w:rPr>
        <w:t>REFERÊNCIAS BIBLIOGRÁFICA</w:t>
      </w:r>
      <w:r w:rsidR="002D3697" w:rsidRPr="00E94800">
        <w:rPr>
          <w:rFonts w:ascii="Times New Roman" w:hAnsi="Times New Roman"/>
          <w:b/>
          <w:sz w:val="20"/>
          <w:szCs w:val="28"/>
        </w:rPr>
        <w:t>S</w:t>
      </w:r>
    </w:p>
    <w:p w:rsidR="00D82B41" w:rsidRPr="006161B2" w:rsidRDefault="00D82B41" w:rsidP="00D82B41">
      <w:pPr>
        <w:spacing w:after="0" w:line="240" w:lineRule="auto"/>
        <w:jc w:val="both"/>
        <w:rPr>
          <w:rFonts w:ascii="Times New Roman" w:hAnsi="Times New Roman"/>
          <w:b/>
          <w:sz w:val="20"/>
          <w:szCs w:val="20"/>
        </w:rPr>
      </w:pPr>
    </w:p>
    <w:p w:rsidR="00BC2F08" w:rsidRDefault="00BC2F08" w:rsidP="00BC2F08">
      <w:pPr>
        <w:spacing w:after="0" w:line="240" w:lineRule="auto"/>
        <w:ind w:left="284" w:hanging="284"/>
        <w:jc w:val="both"/>
        <w:rPr>
          <w:rFonts w:ascii="Times New Roman" w:eastAsia="Times New Roman" w:hAnsi="Times New Roman" w:cs="Times New Roman"/>
          <w:color w:val="000000"/>
          <w:sz w:val="20"/>
          <w:szCs w:val="20"/>
          <w:lang w:eastAsia="zh-CN"/>
        </w:rPr>
      </w:pPr>
      <w:r w:rsidRPr="00BC2F08">
        <w:rPr>
          <w:rFonts w:ascii="Times New Roman" w:eastAsia="Times New Roman" w:hAnsi="Times New Roman" w:cs="Times New Roman"/>
          <w:bCs/>
          <w:color w:val="000000"/>
          <w:sz w:val="20"/>
          <w:szCs w:val="20"/>
          <w:lang w:eastAsia="zh-CN"/>
        </w:rPr>
        <w:t>AGUIAR, A.G.R.; SANTOS, M.A.S.</w:t>
      </w:r>
      <w:r w:rsidRPr="00BC2F08">
        <w:rPr>
          <w:rFonts w:ascii="Times New Roman" w:eastAsia="Times New Roman" w:hAnsi="Times New Roman" w:cs="Times New Roman"/>
          <w:color w:val="000000"/>
          <w:sz w:val="20"/>
          <w:szCs w:val="20"/>
          <w:lang w:eastAsia="zh-CN"/>
        </w:rPr>
        <w:t xml:space="preserve"> </w:t>
      </w:r>
      <w:r w:rsidRPr="00BC2F08">
        <w:rPr>
          <w:rFonts w:ascii="Times New Roman" w:eastAsia="Times New Roman" w:hAnsi="Times New Roman" w:cs="Times New Roman"/>
          <w:bCs/>
          <w:color w:val="000000"/>
          <w:sz w:val="20"/>
          <w:szCs w:val="20"/>
          <w:lang w:eastAsia="zh-CN"/>
        </w:rPr>
        <w:t>Comportamento de preços do feijão-</w:t>
      </w:r>
      <w:proofErr w:type="spellStart"/>
      <w:r w:rsidRPr="00BC2F08">
        <w:rPr>
          <w:rFonts w:ascii="Times New Roman" w:eastAsia="Times New Roman" w:hAnsi="Times New Roman" w:cs="Times New Roman"/>
          <w:bCs/>
          <w:color w:val="000000"/>
          <w:sz w:val="20"/>
          <w:szCs w:val="20"/>
          <w:lang w:eastAsia="zh-CN"/>
        </w:rPr>
        <w:t>caupi</w:t>
      </w:r>
      <w:proofErr w:type="spellEnd"/>
      <w:r w:rsidRPr="00BC2F08">
        <w:rPr>
          <w:rFonts w:ascii="Times New Roman" w:eastAsia="Times New Roman" w:hAnsi="Times New Roman" w:cs="Times New Roman"/>
          <w:bCs/>
          <w:color w:val="000000"/>
          <w:sz w:val="20"/>
          <w:szCs w:val="20"/>
          <w:lang w:eastAsia="zh-CN"/>
        </w:rPr>
        <w:t xml:space="preserve"> no mercado atacadista de Belém no período 2001-2011.</w:t>
      </w:r>
      <w:r w:rsidRPr="00BC2F08">
        <w:rPr>
          <w:rFonts w:ascii="Times New Roman" w:eastAsia="Times New Roman" w:hAnsi="Times New Roman" w:cs="Times New Roman"/>
          <w:color w:val="000000"/>
          <w:sz w:val="20"/>
          <w:szCs w:val="20"/>
          <w:lang w:eastAsia="zh-CN"/>
        </w:rPr>
        <w:t xml:space="preserve"> </w:t>
      </w:r>
      <w:r w:rsidRPr="00BC2F08">
        <w:rPr>
          <w:rFonts w:ascii="Times New Roman" w:eastAsia="Times New Roman" w:hAnsi="Times New Roman" w:cs="Times New Roman"/>
          <w:b/>
          <w:color w:val="000000"/>
          <w:sz w:val="20"/>
          <w:szCs w:val="20"/>
          <w:lang w:eastAsia="zh-CN"/>
        </w:rPr>
        <w:t xml:space="preserve">Anais </w:t>
      </w:r>
      <w:r w:rsidRPr="00BC2F08">
        <w:rPr>
          <w:rFonts w:ascii="Times New Roman" w:eastAsia="Times New Roman" w:hAnsi="Times New Roman" w:cs="Times New Roman"/>
          <w:color w:val="000000"/>
          <w:sz w:val="20"/>
          <w:szCs w:val="20"/>
          <w:lang w:eastAsia="zh-CN"/>
        </w:rPr>
        <w:t>do 9º Seminário Anual de Iniciação Científ</w:t>
      </w:r>
      <w:r>
        <w:rPr>
          <w:rFonts w:ascii="Times New Roman" w:eastAsia="Times New Roman" w:hAnsi="Times New Roman" w:cs="Times New Roman"/>
          <w:color w:val="000000"/>
          <w:sz w:val="20"/>
          <w:szCs w:val="20"/>
          <w:lang w:eastAsia="zh-CN"/>
        </w:rPr>
        <w:t>ica, 19 a 21 de outubro de 2011.</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bCs/>
          <w:sz w:val="20"/>
          <w:szCs w:val="20"/>
          <w:lang w:val="x-none" w:eastAsia="pt-BR"/>
        </w:rPr>
        <w:t xml:space="preserve">ANTONINO, A. C. D.; SAMPAIO, E. V. S. B.; ATTILIO DALL’OLIO, A.; SALCEDO, I. H. Balanço hídrico em solo com cultivos de subsistência no </w:t>
      </w:r>
      <w:proofErr w:type="spellStart"/>
      <w:r w:rsidRPr="00BC2F08">
        <w:rPr>
          <w:rFonts w:ascii="Times New Roman" w:eastAsia="Times New Roman" w:hAnsi="Times New Roman" w:cs="Times New Roman"/>
          <w:bCs/>
          <w:sz w:val="20"/>
          <w:szCs w:val="20"/>
          <w:lang w:val="x-none" w:eastAsia="pt-BR"/>
        </w:rPr>
        <w:t>semi-árido</w:t>
      </w:r>
      <w:proofErr w:type="spellEnd"/>
      <w:r w:rsidRPr="00BC2F08">
        <w:rPr>
          <w:rFonts w:ascii="Times New Roman" w:eastAsia="Times New Roman" w:hAnsi="Times New Roman" w:cs="Times New Roman"/>
          <w:bCs/>
          <w:sz w:val="20"/>
          <w:szCs w:val="20"/>
          <w:lang w:val="x-none" w:eastAsia="pt-BR"/>
        </w:rPr>
        <w:t xml:space="preserve"> do nordeste do Brasil. </w:t>
      </w:r>
      <w:r w:rsidRPr="00BC2F08">
        <w:rPr>
          <w:rFonts w:ascii="Times New Roman" w:eastAsia="Times New Roman" w:hAnsi="Times New Roman" w:cs="Times New Roman"/>
          <w:b/>
          <w:bCs/>
          <w:sz w:val="20"/>
          <w:szCs w:val="20"/>
          <w:lang w:val="x-none" w:eastAsia="pt-BR"/>
        </w:rPr>
        <w:t>Revista Brasileira de Engenharia Agrícola e Ambiental</w:t>
      </w:r>
      <w:r w:rsidRPr="00BC2F08">
        <w:rPr>
          <w:rFonts w:ascii="Times New Roman" w:eastAsia="Times New Roman" w:hAnsi="Times New Roman" w:cs="Times New Roman"/>
          <w:bCs/>
          <w:sz w:val="20"/>
          <w:szCs w:val="20"/>
          <w:lang w:val="x-none" w:eastAsia="pt-BR"/>
        </w:rPr>
        <w:t xml:space="preserve">, Campina Grande,  v.4, n.1, p.29-34, 2000. </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color w:val="000000"/>
          <w:sz w:val="20"/>
          <w:szCs w:val="20"/>
          <w:shd w:val="clear" w:color="auto" w:fill="FFFFFF"/>
          <w:lang w:val="x-none" w:eastAsia="pt-BR"/>
        </w:rPr>
        <w:t xml:space="preserve">BEZERRA, A. K. P.; LACERDA, C. F.; HERNANDEZ, F. F. F.; SILVA, F. B.; GHEYI, H. R. Rotação cultural feijão </w:t>
      </w:r>
      <w:proofErr w:type="spellStart"/>
      <w:r w:rsidRPr="00BC2F08">
        <w:rPr>
          <w:rFonts w:ascii="Times New Roman" w:eastAsia="Times New Roman" w:hAnsi="Times New Roman" w:cs="Times New Roman"/>
          <w:color w:val="000000"/>
          <w:sz w:val="20"/>
          <w:szCs w:val="20"/>
          <w:shd w:val="clear" w:color="auto" w:fill="FFFFFF"/>
          <w:lang w:val="x-none" w:eastAsia="pt-BR"/>
        </w:rPr>
        <w:t>caupi</w:t>
      </w:r>
      <w:proofErr w:type="spellEnd"/>
      <w:r w:rsidRPr="00BC2F08">
        <w:rPr>
          <w:rFonts w:ascii="Times New Roman" w:eastAsia="Times New Roman" w:hAnsi="Times New Roman" w:cs="Times New Roman"/>
          <w:color w:val="000000"/>
          <w:sz w:val="20"/>
          <w:szCs w:val="20"/>
          <w:shd w:val="clear" w:color="auto" w:fill="FFFFFF"/>
          <w:lang w:val="x-none" w:eastAsia="pt-BR"/>
        </w:rPr>
        <w:t xml:space="preserve">/milho utilizando-se águas de salinidades diferentes. </w:t>
      </w:r>
      <w:r w:rsidRPr="00BC2F08">
        <w:rPr>
          <w:rFonts w:ascii="Times New Roman" w:eastAsia="Times New Roman" w:hAnsi="Times New Roman" w:cs="Times New Roman"/>
          <w:b/>
          <w:bCs/>
          <w:sz w:val="20"/>
          <w:szCs w:val="20"/>
          <w:lang w:val="x-none" w:eastAsia="pt-BR"/>
        </w:rPr>
        <w:t xml:space="preserve">Ciência Rural, </w:t>
      </w:r>
      <w:r w:rsidRPr="00BC2F08">
        <w:rPr>
          <w:rFonts w:ascii="Times New Roman" w:eastAsia="Times New Roman" w:hAnsi="Times New Roman" w:cs="Times New Roman"/>
          <w:bCs/>
          <w:sz w:val="20"/>
          <w:szCs w:val="20"/>
          <w:lang w:val="x-none" w:eastAsia="pt-BR"/>
        </w:rPr>
        <w:t>Santa Maria, v.40 n.5, mai. 2010.</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color w:val="000000"/>
          <w:sz w:val="20"/>
          <w:szCs w:val="20"/>
          <w:lang w:eastAsia="zh-CN"/>
        </w:rPr>
        <w:t>CARDOSO, M. V.; SOARES, P. R. C.; SILVA, J. C. G. L. da; TIMOFEICZYK JUNIOR, R. Estudo da Sazonalidade de preço da celulose brasileira no mercado dos</w:t>
      </w:r>
      <w:r w:rsidRPr="00BC2F08">
        <w:rPr>
          <w:rFonts w:ascii="Times New Roman" w:eastAsia="Times New Roman" w:hAnsi="Times New Roman" w:cs="Times New Roman"/>
          <w:color w:val="000000"/>
          <w:sz w:val="20"/>
          <w:szCs w:val="20"/>
          <w:lang w:eastAsia="zh-CN"/>
        </w:rPr>
        <w:br/>
      </w:r>
      <w:r w:rsidRPr="00BC2F08">
        <w:rPr>
          <w:rFonts w:ascii="Times New Roman" w:eastAsia="Times New Roman" w:hAnsi="Times New Roman" w:cs="Times New Roman"/>
          <w:color w:val="000000"/>
          <w:sz w:val="20"/>
          <w:szCs w:val="20"/>
          <w:lang w:eastAsia="zh-CN"/>
        </w:rPr>
        <w:lastRenderedPageBreak/>
        <w:t>Estados Unidos em períodos cíclicos como apoio a estratégias empresariais.</w:t>
      </w:r>
      <w:r w:rsidRPr="00BC2F08">
        <w:rPr>
          <w:rFonts w:ascii="Times New Roman" w:eastAsia="Times New Roman" w:hAnsi="Times New Roman" w:cs="Times New Roman"/>
          <w:color w:val="000000"/>
          <w:sz w:val="20"/>
          <w:szCs w:val="20"/>
          <w:lang w:eastAsia="zh-CN"/>
        </w:rPr>
        <w:br/>
      </w:r>
      <w:proofErr w:type="spellStart"/>
      <w:r w:rsidRPr="00BC2F08">
        <w:rPr>
          <w:rFonts w:ascii="Times New Roman" w:eastAsia="Times New Roman" w:hAnsi="Times New Roman" w:cs="Times New Roman"/>
          <w:b/>
          <w:bCs/>
          <w:color w:val="000000"/>
          <w:sz w:val="20"/>
          <w:szCs w:val="20"/>
          <w:lang w:eastAsia="zh-CN"/>
        </w:rPr>
        <w:t>Scientia</w:t>
      </w:r>
      <w:proofErr w:type="spellEnd"/>
      <w:r w:rsidRPr="00BC2F08">
        <w:rPr>
          <w:rFonts w:ascii="Times New Roman" w:eastAsia="Times New Roman" w:hAnsi="Times New Roman" w:cs="Times New Roman"/>
          <w:b/>
          <w:bCs/>
          <w:color w:val="000000"/>
          <w:sz w:val="20"/>
          <w:szCs w:val="20"/>
          <w:lang w:eastAsia="zh-CN"/>
        </w:rPr>
        <w:t xml:space="preserve"> </w:t>
      </w:r>
      <w:proofErr w:type="spellStart"/>
      <w:r w:rsidRPr="00BC2F08">
        <w:rPr>
          <w:rFonts w:ascii="Times New Roman" w:eastAsia="Times New Roman" w:hAnsi="Times New Roman" w:cs="Times New Roman"/>
          <w:b/>
          <w:bCs/>
          <w:color w:val="000000"/>
          <w:sz w:val="20"/>
          <w:szCs w:val="20"/>
          <w:lang w:eastAsia="zh-CN"/>
        </w:rPr>
        <w:t>Forestalis</w:t>
      </w:r>
      <w:proofErr w:type="spellEnd"/>
      <w:r w:rsidRPr="00BC2F08">
        <w:rPr>
          <w:rFonts w:ascii="Times New Roman" w:eastAsia="Times New Roman" w:hAnsi="Times New Roman" w:cs="Times New Roman"/>
          <w:color w:val="000000"/>
          <w:sz w:val="20"/>
          <w:szCs w:val="20"/>
          <w:lang w:eastAsia="zh-CN"/>
        </w:rPr>
        <w:t xml:space="preserve">. Piracicaba. </w:t>
      </w:r>
      <w:proofErr w:type="gramStart"/>
      <w:r w:rsidRPr="00BC2F08">
        <w:rPr>
          <w:rFonts w:ascii="Times New Roman" w:eastAsia="Times New Roman" w:hAnsi="Times New Roman" w:cs="Times New Roman"/>
          <w:color w:val="000000"/>
          <w:sz w:val="20"/>
          <w:szCs w:val="20"/>
          <w:lang w:eastAsia="zh-CN"/>
        </w:rPr>
        <w:t>v.</w:t>
      </w:r>
      <w:proofErr w:type="gramEnd"/>
      <w:r w:rsidRPr="00BC2F08">
        <w:rPr>
          <w:rFonts w:ascii="Times New Roman" w:eastAsia="Times New Roman" w:hAnsi="Times New Roman" w:cs="Times New Roman"/>
          <w:color w:val="000000"/>
          <w:sz w:val="20"/>
          <w:szCs w:val="20"/>
          <w:lang w:eastAsia="zh-CN"/>
        </w:rPr>
        <w:t xml:space="preserve"> 41. </w:t>
      </w:r>
      <w:proofErr w:type="gramStart"/>
      <w:r w:rsidRPr="00BC2F08">
        <w:rPr>
          <w:rFonts w:ascii="Times New Roman" w:eastAsia="Times New Roman" w:hAnsi="Times New Roman" w:cs="Times New Roman"/>
          <w:color w:val="000000"/>
          <w:sz w:val="20"/>
          <w:szCs w:val="20"/>
          <w:lang w:eastAsia="zh-CN"/>
        </w:rPr>
        <w:t>n.</w:t>
      </w:r>
      <w:proofErr w:type="gramEnd"/>
      <w:r w:rsidRPr="00BC2F08">
        <w:rPr>
          <w:rFonts w:ascii="Times New Roman" w:eastAsia="Times New Roman" w:hAnsi="Times New Roman" w:cs="Times New Roman"/>
          <w:color w:val="000000"/>
          <w:sz w:val="20"/>
          <w:szCs w:val="20"/>
          <w:lang w:eastAsia="zh-CN"/>
        </w:rPr>
        <w:t xml:space="preserve"> 97. </w:t>
      </w:r>
      <w:proofErr w:type="gramStart"/>
      <w:r w:rsidRPr="00BC2F08">
        <w:rPr>
          <w:rFonts w:ascii="Times New Roman" w:eastAsia="Times New Roman" w:hAnsi="Times New Roman" w:cs="Times New Roman"/>
          <w:color w:val="000000"/>
          <w:sz w:val="20"/>
          <w:szCs w:val="20"/>
          <w:lang w:eastAsia="zh-CN"/>
        </w:rPr>
        <w:t>p.</w:t>
      </w:r>
      <w:proofErr w:type="gramEnd"/>
      <w:r w:rsidRPr="00BC2F08">
        <w:rPr>
          <w:rFonts w:ascii="Times New Roman" w:eastAsia="Times New Roman" w:hAnsi="Times New Roman" w:cs="Times New Roman"/>
          <w:color w:val="000000"/>
          <w:sz w:val="20"/>
          <w:szCs w:val="20"/>
          <w:lang w:eastAsia="zh-CN"/>
        </w:rPr>
        <w:t xml:space="preserve"> 47-55. 2013.</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bCs/>
          <w:sz w:val="20"/>
          <w:szCs w:val="20"/>
          <w:lang w:val="x-none" w:eastAsia="pt-BR"/>
        </w:rPr>
        <w:t xml:space="preserve">CONAB – </w:t>
      </w:r>
      <w:r w:rsidRPr="00BC2F08">
        <w:rPr>
          <w:rFonts w:ascii="Times New Roman" w:eastAsia="Times New Roman" w:hAnsi="Times New Roman" w:cs="Times New Roman"/>
          <w:b/>
          <w:bCs/>
          <w:sz w:val="20"/>
          <w:szCs w:val="20"/>
          <w:lang w:val="x-none" w:eastAsia="pt-BR"/>
        </w:rPr>
        <w:t>Companhia Nacional de Abastecimento.</w:t>
      </w:r>
      <w:r w:rsidRPr="00BC2F08">
        <w:rPr>
          <w:rFonts w:ascii="Times New Roman" w:eastAsia="Times New Roman" w:hAnsi="Times New Roman" w:cs="Times New Roman"/>
          <w:bCs/>
          <w:sz w:val="20"/>
          <w:szCs w:val="20"/>
          <w:lang w:val="x-none" w:eastAsia="pt-BR"/>
        </w:rPr>
        <w:t xml:space="preserve"> Disponível em: &lt;</w:t>
      </w:r>
      <w:hyperlink r:id="rId33" w:anchor="A_objcmsconteudos" w:history="1">
        <w:r w:rsidRPr="00BC2F08">
          <w:rPr>
            <w:rFonts w:ascii="Times New Roman" w:eastAsia="Times New Roman" w:hAnsi="Times New Roman" w:cs="Times New Roman"/>
            <w:bCs/>
            <w:color w:val="0000FF"/>
            <w:sz w:val="20"/>
            <w:szCs w:val="20"/>
            <w:u w:val="single"/>
            <w:lang w:val="x-none" w:eastAsia="pt-BR"/>
          </w:rPr>
          <w:t>http://www.conab.gov.br/conteudos.php?a=1252&amp;t=&amp;Pagina_objcmsconteudos=2#A_objcmsconteudos</w:t>
        </w:r>
      </w:hyperlink>
      <w:r w:rsidRPr="00BC2F08">
        <w:rPr>
          <w:rFonts w:ascii="Times New Roman" w:eastAsia="Times New Roman" w:hAnsi="Times New Roman" w:cs="Times New Roman"/>
          <w:b/>
          <w:bCs/>
          <w:sz w:val="20"/>
          <w:szCs w:val="20"/>
          <w:lang w:val="x-none" w:eastAsia="pt-BR"/>
        </w:rPr>
        <w:t>&gt;</w:t>
      </w:r>
      <w:r w:rsidRPr="00BC2F08">
        <w:rPr>
          <w:rFonts w:ascii="Times New Roman" w:eastAsia="Times New Roman" w:hAnsi="Times New Roman" w:cs="Times New Roman"/>
          <w:bCs/>
          <w:sz w:val="20"/>
          <w:szCs w:val="20"/>
          <w:lang w:val="x-none" w:eastAsia="pt-BR"/>
        </w:rPr>
        <w:t xml:space="preserve"> Acessado em: 02 de Março de 2015.</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sz w:val="20"/>
          <w:szCs w:val="20"/>
          <w:shd w:val="clear" w:color="auto" w:fill="FFFFFF"/>
          <w:lang w:eastAsia="zh-CN"/>
        </w:rPr>
        <w:t xml:space="preserve">DJAU, M. </w:t>
      </w:r>
      <w:proofErr w:type="gramStart"/>
      <w:r w:rsidRPr="00BC2F08">
        <w:rPr>
          <w:rFonts w:ascii="Times New Roman" w:eastAsia="Times New Roman" w:hAnsi="Times New Roman" w:cs="Times New Roman"/>
          <w:sz w:val="20"/>
          <w:szCs w:val="20"/>
          <w:shd w:val="clear" w:color="auto" w:fill="FFFFFF"/>
          <w:lang w:eastAsia="zh-CN"/>
        </w:rPr>
        <w:t>A. ;</w:t>
      </w:r>
      <w:proofErr w:type="gramEnd"/>
      <w:r w:rsidRPr="00BC2F08">
        <w:rPr>
          <w:rFonts w:ascii="Times New Roman" w:eastAsia="Times New Roman" w:hAnsi="Times New Roman" w:cs="Times New Roman"/>
          <w:sz w:val="20"/>
          <w:szCs w:val="20"/>
          <w:shd w:val="clear" w:color="auto" w:fill="FFFFFF"/>
          <w:lang w:eastAsia="zh-CN"/>
        </w:rPr>
        <w:t xml:space="preserve"> REIS, J. N. </w:t>
      </w:r>
      <w:proofErr w:type="gramStart"/>
      <w:r w:rsidRPr="00BC2F08">
        <w:rPr>
          <w:rFonts w:ascii="Times New Roman" w:eastAsia="Times New Roman" w:hAnsi="Times New Roman" w:cs="Times New Roman"/>
          <w:sz w:val="20"/>
          <w:szCs w:val="20"/>
          <w:shd w:val="clear" w:color="auto" w:fill="FFFFFF"/>
          <w:lang w:eastAsia="zh-CN"/>
        </w:rPr>
        <w:t>P. ;</w:t>
      </w:r>
      <w:proofErr w:type="gramEnd"/>
      <w:r w:rsidRPr="00BC2F08">
        <w:rPr>
          <w:rFonts w:ascii="Times New Roman" w:eastAsia="Times New Roman" w:hAnsi="Times New Roman" w:cs="Times New Roman"/>
          <w:sz w:val="20"/>
          <w:szCs w:val="20"/>
          <w:shd w:val="clear" w:color="auto" w:fill="FFFFFF"/>
          <w:lang w:eastAsia="zh-CN"/>
        </w:rPr>
        <w:t xml:space="preserve"> LIMA, P. V. P. S. . Análise de variação de preços de frutas no estado do Ceará de 2007 a 2012. </w:t>
      </w:r>
      <w:r w:rsidRPr="00BC2F08">
        <w:rPr>
          <w:rFonts w:ascii="Times New Roman" w:eastAsia="Times New Roman" w:hAnsi="Times New Roman" w:cs="Times New Roman"/>
          <w:b/>
          <w:sz w:val="20"/>
          <w:szCs w:val="20"/>
          <w:shd w:val="clear" w:color="auto" w:fill="FFFFFF"/>
          <w:lang w:eastAsia="zh-CN"/>
        </w:rPr>
        <w:t>Enciclopédia Biosfera</w:t>
      </w:r>
      <w:r w:rsidRPr="00BC2F08">
        <w:rPr>
          <w:rFonts w:ascii="Times New Roman" w:eastAsia="Times New Roman" w:hAnsi="Times New Roman" w:cs="Times New Roman"/>
          <w:sz w:val="20"/>
          <w:szCs w:val="20"/>
          <w:shd w:val="clear" w:color="auto" w:fill="FFFFFF"/>
          <w:lang w:eastAsia="zh-CN"/>
        </w:rPr>
        <w:t>, v. 10, p. 3434-3446, 2014.</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bCs/>
          <w:sz w:val="20"/>
          <w:szCs w:val="20"/>
          <w:lang w:val="x-none" w:eastAsia="pt-BR"/>
        </w:rPr>
        <w:t xml:space="preserve">EMBRAPA – </w:t>
      </w:r>
      <w:r w:rsidRPr="00BC2F08">
        <w:rPr>
          <w:rFonts w:ascii="Times New Roman" w:eastAsia="Times New Roman" w:hAnsi="Times New Roman" w:cs="Times New Roman"/>
          <w:b/>
          <w:bCs/>
          <w:sz w:val="20"/>
          <w:szCs w:val="20"/>
          <w:lang w:val="x-none" w:eastAsia="pt-BR"/>
        </w:rPr>
        <w:t>Cultivo do Milho.</w:t>
      </w:r>
      <w:r w:rsidRPr="00BC2F08">
        <w:rPr>
          <w:rFonts w:ascii="Times New Roman" w:eastAsia="Times New Roman" w:hAnsi="Times New Roman" w:cs="Times New Roman"/>
          <w:bCs/>
          <w:sz w:val="20"/>
          <w:szCs w:val="20"/>
          <w:lang w:val="x-none" w:eastAsia="pt-BR"/>
        </w:rPr>
        <w:t xml:space="preserve"> Disponível em: &lt;</w:t>
      </w:r>
      <w:hyperlink r:id="rId34" w:history="1">
        <w:r w:rsidRPr="00BC2F08">
          <w:rPr>
            <w:rFonts w:ascii="Times New Roman" w:eastAsia="Times New Roman" w:hAnsi="Times New Roman" w:cs="Times New Roman"/>
            <w:bCs/>
            <w:color w:val="0000FF"/>
            <w:sz w:val="20"/>
            <w:szCs w:val="20"/>
            <w:u w:val="single"/>
            <w:lang w:val="x-none" w:eastAsia="pt-BR"/>
          </w:rPr>
          <w:t>http://www.cnpms.embrapa.br/publicacoes/milho_7_ed/mercado.htm</w:t>
        </w:r>
      </w:hyperlink>
      <w:r w:rsidRPr="00BC2F08">
        <w:rPr>
          <w:rFonts w:ascii="Times New Roman" w:eastAsia="Times New Roman" w:hAnsi="Times New Roman" w:cs="Times New Roman"/>
          <w:bCs/>
          <w:sz w:val="20"/>
          <w:szCs w:val="20"/>
          <w:lang w:val="x-none" w:eastAsia="pt-BR"/>
        </w:rPr>
        <w:t>&gt; Acessado em: 05 de Março de 2015.</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sz w:val="20"/>
          <w:szCs w:val="20"/>
          <w:lang w:eastAsia="zh-CN"/>
        </w:rPr>
        <w:t xml:space="preserve">Embrapa Arroz e Feijão. </w:t>
      </w:r>
      <w:r w:rsidRPr="00BC2F08">
        <w:rPr>
          <w:rFonts w:ascii="Times New Roman" w:eastAsia="Times New Roman" w:hAnsi="Times New Roman" w:cs="Times New Roman"/>
          <w:b/>
          <w:sz w:val="20"/>
          <w:szCs w:val="20"/>
          <w:lang w:eastAsia="zh-CN"/>
        </w:rPr>
        <w:t>Dados socioeconômicos arroz e feijão</w:t>
      </w:r>
      <w:r w:rsidRPr="00BC2F08">
        <w:rPr>
          <w:rFonts w:ascii="Times New Roman" w:eastAsia="Times New Roman" w:hAnsi="Times New Roman" w:cs="Times New Roman"/>
          <w:sz w:val="20"/>
          <w:szCs w:val="20"/>
          <w:lang w:eastAsia="zh-CN"/>
        </w:rPr>
        <w:t>. Disponível em: &lt;http://www.cnpaf.embrapa.br/Transferência de Tecnologia/Informações Técnicas/</w:t>
      </w:r>
      <w:proofErr w:type="spellStart"/>
      <w:r w:rsidRPr="00BC2F08">
        <w:rPr>
          <w:rFonts w:ascii="Times New Roman" w:eastAsia="Times New Roman" w:hAnsi="Times New Roman" w:cs="Times New Roman"/>
          <w:sz w:val="20"/>
          <w:szCs w:val="20"/>
          <w:lang w:eastAsia="zh-CN"/>
        </w:rPr>
        <w:t>Socioeconomia</w:t>
      </w:r>
      <w:proofErr w:type="spellEnd"/>
      <w:r w:rsidRPr="00BC2F08">
        <w:rPr>
          <w:rFonts w:ascii="Times New Roman" w:eastAsia="Times New Roman" w:hAnsi="Times New Roman" w:cs="Times New Roman"/>
          <w:sz w:val="20"/>
          <w:szCs w:val="20"/>
          <w:lang w:eastAsia="zh-CN"/>
        </w:rPr>
        <w:t>/Feijão/Dados conjunturais &gt;Acesso em 12 de março de 2015.</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sz w:val="20"/>
          <w:szCs w:val="20"/>
          <w:lang w:eastAsia="zh-CN"/>
        </w:rPr>
        <w:t>EMBRAPA-</w:t>
      </w:r>
      <w:r w:rsidRPr="00BC2F08">
        <w:rPr>
          <w:rFonts w:ascii="Times New Roman" w:eastAsia="Times New Roman" w:hAnsi="Times New Roman" w:cs="Times New Roman"/>
          <w:b/>
          <w:sz w:val="20"/>
          <w:szCs w:val="20"/>
          <w:lang w:eastAsia="zh-CN"/>
        </w:rPr>
        <w:t>Empresa Brasileira de Pesquisa Agropecuária</w:t>
      </w:r>
      <w:r w:rsidRPr="00BC2F08">
        <w:rPr>
          <w:rFonts w:ascii="Times New Roman" w:eastAsia="Times New Roman" w:hAnsi="Times New Roman" w:cs="Times New Roman"/>
          <w:sz w:val="20"/>
          <w:szCs w:val="20"/>
          <w:lang w:eastAsia="zh-CN"/>
        </w:rPr>
        <w:t xml:space="preserve">, 2012. Dados agricultura. Disponível </w:t>
      </w:r>
      <w:proofErr w:type="gramStart"/>
      <w:r w:rsidRPr="00BC2F08">
        <w:rPr>
          <w:rFonts w:ascii="Times New Roman" w:eastAsia="Times New Roman" w:hAnsi="Times New Roman" w:cs="Times New Roman"/>
          <w:sz w:val="20"/>
          <w:szCs w:val="20"/>
          <w:lang w:eastAsia="zh-CN"/>
        </w:rPr>
        <w:t>em :</w:t>
      </w:r>
      <w:proofErr w:type="gramEnd"/>
      <w:r w:rsidRPr="00BC2F08">
        <w:rPr>
          <w:rFonts w:ascii="Times New Roman" w:eastAsia="Times New Roman" w:hAnsi="Times New Roman" w:cs="Times New Roman"/>
          <w:sz w:val="20"/>
          <w:szCs w:val="20"/>
          <w:lang w:eastAsia="zh-CN"/>
        </w:rPr>
        <w:t>&lt; http://www.embrapa.br/&gt;. Acesso em 12 de março de 2015.</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sz w:val="20"/>
          <w:szCs w:val="20"/>
          <w:lang w:eastAsia="pt-BR"/>
        </w:rPr>
        <w:t xml:space="preserve">GALLO, G. </w:t>
      </w:r>
      <w:r w:rsidRPr="00BC2F08">
        <w:rPr>
          <w:rFonts w:ascii="Times New Roman" w:eastAsia="Times New Roman" w:hAnsi="Times New Roman" w:cs="Times New Roman"/>
          <w:b/>
          <w:sz w:val="20"/>
          <w:szCs w:val="20"/>
          <w:lang w:eastAsia="pt-BR"/>
        </w:rPr>
        <w:t xml:space="preserve">Análise da sazonalidade do preço do tomate no Ceasa da grande </w:t>
      </w:r>
      <w:proofErr w:type="spellStart"/>
      <w:proofErr w:type="gramStart"/>
      <w:r w:rsidRPr="00BC2F08">
        <w:rPr>
          <w:rFonts w:ascii="Times New Roman" w:eastAsia="Times New Roman" w:hAnsi="Times New Roman" w:cs="Times New Roman"/>
          <w:b/>
          <w:sz w:val="20"/>
          <w:szCs w:val="20"/>
          <w:lang w:eastAsia="pt-BR"/>
        </w:rPr>
        <w:t>florianópolis</w:t>
      </w:r>
      <w:proofErr w:type="spellEnd"/>
      <w:proofErr w:type="gramEnd"/>
      <w:r w:rsidRPr="00BC2F08">
        <w:rPr>
          <w:rFonts w:ascii="Times New Roman" w:eastAsia="Times New Roman" w:hAnsi="Times New Roman" w:cs="Times New Roman"/>
          <w:b/>
          <w:sz w:val="20"/>
          <w:szCs w:val="20"/>
          <w:lang w:eastAsia="pt-BR"/>
        </w:rPr>
        <w:t>.</w:t>
      </w:r>
      <w:r w:rsidRPr="00BC2F08">
        <w:rPr>
          <w:rFonts w:ascii="Times New Roman" w:eastAsia="Times New Roman" w:hAnsi="Times New Roman" w:cs="Times New Roman"/>
          <w:sz w:val="20"/>
          <w:szCs w:val="20"/>
          <w:lang w:eastAsia="pt-BR"/>
        </w:rPr>
        <w:t xml:space="preserve"> 2007. 58 f. Monografia (Graduação em Ciências Econômicas) – Universidade Federal de Santa Catarina. Florianópolis, 2007.</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sz w:val="20"/>
          <w:szCs w:val="20"/>
          <w:shd w:val="clear" w:color="auto" w:fill="FFFFFF"/>
          <w:lang w:eastAsia="zh-CN"/>
        </w:rPr>
        <w:t xml:space="preserve">GONTIJO, T.S.; FERNANDES, E.A.; </w:t>
      </w:r>
      <w:proofErr w:type="gramStart"/>
      <w:r w:rsidRPr="00BC2F08">
        <w:rPr>
          <w:rFonts w:ascii="Times New Roman" w:eastAsia="Times New Roman" w:hAnsi="Times New Roman" w:cs="Times New Roman"/>
          <w:sz w:val="20"/>
          <w:szCs w:val="20"/>
          <w:shd w:val="clear" w:color="auto" w:fill="FFFFFF"/>
          <w:lang w:eastAsia="zh-CN"/>
        </w:rPr>
        <w:t>SARAIVA,</w:t>
      </w:r>
      <w:proofErr w:type="gramEnd"/>
      <w:r w:rsidRPr="00BC2F08">
        <w:rPr>
          <w:rFonts w:ascii="Times New Roman" w:eastAsia="Times New Roman" w:hAnsi="Times New Roman" w:cs="Times New Roman"/>
          <w:sz w:val="20"/>
          <w:szCs w:val="20"/>
          <w:shd w:val="clear" w:color="auto" w:fill="FFFFFF"/>
          <w:lang w:eastAsia="zh-CN"/>
        </w:rPr>
        <w:t xml:space="preserve"> M.B. Análise da volatilidade do retorno da commodity dendê: 1980-2008. </w:t>
      </w:r>
      <w:r w:rsidRPr="00BC2F08">
        <w:rPr>
          <w:rFonts w:ascii="Times New Roman" w:eastAsia="Times New Roman" w:hAnsi="Times New Roman" w:cs="Times New Roman"/>
          <w:b/>
          <w:sz w:val="20"/>
          <w:szCs w:val="20"/>
          <w:shd w:val="clear" w:color="auto" w:fill="FFFFFF"/>
          <w:lang w:eastAsia="zh-CN"/>
        </w:rPr>
        <w:t>Revista de Economia e Sociologia Rural.</w:t>
      </w:r>
      <w:r w:rsidRPr="00BC2F08">
        <w:rPr>
          <w:rFonts w:ascii="Times New Roman" w:eastAsia="Times New Roman" w:hAnsi="Times New Roman" w:cs="Times New Roman"/>
          <w:sz w:val="20"/>
          <w:szCs w:val="20"/>
          <w:shd w:val="clear" w:color="auto" w:fill="FFFFFF"/>
          <w:lang w:eastAsia="zh-CN"/>
        </w:rPr>
        <w:t xml:space="preserve"> Brasília. </w:t>
      </w:r>
      <w:proofErr w:type="gramStart"/>
      <w:r w:rsidRPr="00BC2F08">
        <w:rPr>
          <w:rFonts w:ascii="Times New Roman" w:eastAsia="Times New Roman" w:hAnsi="Times New Roman" w:cs="Times New Roman"/>
          <w:sz w:val="20"/>
          <w:szCs w:val="20"/>
          <w:shd w:val="clear" w:color="auto" w:fill="FFFFFF"/>
          <w:lang w:eastAsia="zh-CN"/>
        </w:rPr>
        <w:t>v.</w:t>
      </w:r>
      <w:proofErr w:type="gramEnd"/>
      <w:r w:rsidRPr="00BC2F08">
        <w:rPr>
          <w:rFonts w:ascii="Times New Roman" w:eastAsia="Times New Roman" w:hAnsi="Times New Roman" w:cs="Times New Roman"/>
          <w:sz w:val="20"/>
          <w:szCs w:val="20"/>
          <w:shd w:val="clear" w:color="auto" w:fill="FFFFFF"/>
          <w:lang w:eastAsia="zh-CN"/>
        </w:rPr>
        <w:t xml:space="preserve">49, n.4. </w:t>
      </w:r>
      <w:proofErr w:type="gramStart"/>
      <w:r w:rsidRPr="00BC2F08">
        <w:rPr>
          <w:rFonts w:ascii="Times New Roman" w:eastAsia="Times New Roman" w:hAnsi="Times New Roman" w:cs="Times New Roman"/>
          <w:sz w:val="20"/>
          <w:szCs w:val="20"/>
          <w:shd w:val="clear" w:color="auto" w:fill="FFFFFF"/>
          <w:lang w:eastAsia="zh-CN"/>
        </w:rPr>
        <w:t>p.</w:t>
      </w:r>
      <w:proofErr w:type="gramEnd"/>
      <w:r w:rsidRPr="00BC2F08">
        <w:rPr>
          <w:rFonts w:ascii="Times New Roman" w:eastAsia="Times New Roman" w:hAnsi="Times New Roman" w:cs="Times New Roman"/>
          <w:sz w:val="20"/>
          <w:szCs w:val="20"/>
          <w:shd w:val="clear" w:color="auto" w:fill="FFFFFF"/>
          <w:lang w:eastAsia="zh-CN"/>
        </w:rPr>
        <w:t xml:space="preserve"> 857-874. 2011.</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sz w:val="20"/>
          <w:szCs w:val="20"/>
          <w:shd w:val="clear" w:color="auto" w:fill="FFFFFF"/>
          <w:lang w:eastAsia="zh-CN"/>
        </w:rPr>
        <w:t xml:space="preserve">HARZER, J. H.; COSTA, C. T.; SILVA, W.V.; SOUZA, A. Eficiência dos mercados futuros de commodities agrícolas aplicando-se o teste de </w:t>
      </w:r>
      <w:proofErr w:type="spellStart"/>
      <w:r w:rsidRPr="00BC2F08">
        <w:rPr>
          <w:rFonts w:ascii="Times New Roman" w:eastAsia="Times New Roman" w:hAnsi="Times New Roman" w:cs="Times New Roman"/>
          <w:sz w:val="20"/>
          <w:szCs w:val="20"/>
          <w:shd w:val="clear" w:color="auto" w:fill="FFFFFF"/>
          <w:lang w:eastAsia="zh-CN"/>
        </w:rPr>
        <w:t>cointegração</w:t>
      </w:r>
      <w:proofErr w:type="spellEnd"/>
      <w:r w:rsidRPr="00BC2F08">
        <w:rPr>
          <w:rFonts w:ascii="Times New Roman" w:eastAsia="Times New Roman" w:hAnsi="Times New Roman" w:cs="Times New Roman"/>
          <w:sz w:val="20"/>
          <w:szCs w:val="20"/>
          <w:shd w:val="clear" w:color="auto" w:fill="FFFFFF"/>
          <w:lang w:eastAsia="zh-CN"/>
        </w:rPr>
        <w:t xml:space="preserve">. </w:t>
      </w:r>
      <w:r w:rsidRPr="00BC2F08">
        <w:rPr>
          <w:rFonts w:ascii="Times New Roman" w:eastAsia="Times New Roman" w:hAnsi="Times New Roman" w:cs="Times New Roman"/>
          <w:b/>
          <w:sz w:val="20"/>
          <w:szCs w:val="20"/>
          <w:shd w:val="clear" w:color="auto" w:fill="FFFFFF"/>
          <w:lang w:eastAsia="zh-CN"/>
        </w:rPr>
        <w:t>Revista de Administração da Universidade Federal de Santa Maria.</w:t>
      </w:r>
      <w:r w:rsidRPr="00BC2F08">
        <w:rPr>
          <w:rFonts w:ascii="Times New Roman" w:eastAsia="Times New Roman" w:hAnsi="Times New Roman" w:cs="Times New Roman"/>
          <w:sz w:val="20"/>
          <w:szCs w:val="20"/>
          <w:shd w:val="clear" w:color="auto" w:fill="FFFFFF"/>
          <w:lang w:eastAsia="zh-CN"/>
        </w:rPr>
        <w:t xml:space="preserve"> Santa Maria. </w:t>
      </w:r>
      <w:proofErr w:type="gramStart"/>
      <w:r w:rsidRPr="00BC2F08">
        <w:rPr>
          <w:rFonts w:ascii="Times New Roman" w:eastAsia="Times New Roman" w:hAnsi="Times New Roman" w:cs="Times New Roman"/>
          <w:sz w:val="20"/>
          <w:szCs w:val="20"/>
          <w:shd w:val="clear" w:color="auto" w:fill="FFFFFF"/>
          <w:lang w:eastAsia="zh-CN"/>
        </w:rPr>
        <w:t>v.</w:t>
      </w:r>
      <w:proofErr w:type="gramEnd"/>
      <w:r w:rsidRPr="00BC2F08">
        <w:rPr>
          <w:rFonts w:ascii="Times New Roman" w:eastAsia="Times New Roman" w:hAnsi="Times New Roman" w:cs="Times New Roman"/>
          <w:sz w:val="20"/>
          <w:szCs w:val="20"/>
          <w:shd w:val="clear" w:color="auto" w:fill="FFFFFF"/>
          <w:lang w:eastAsia="zh-CN"/>
        </w:rPr>
        <w:t xml:space="preserve"> 5. </w:t>
      </w:r>
      <w:proofErr w:type="gramStart"/>
      <w:r w:rsidRPr="00BC2F08">
        <w:rPr>
          <w:rFonts w:ascii="Times New Roman" w:eastAsia="Times New Roman" w:hAnsi="Times New Roman" w:cs="Times New Roman"/>
          <w:sz w:val="20"/>
          <w:szCs w:val="20"/>
          <w:shd w:val="clear" w:color="auto" w:fill="FFFFFF"/>
          <w:lang w:eastAsia="zh-CN"/>
        </w:rPr>
        <w:t>n.</w:t>
      </w:r>
      <w:proofErr w:type="gramEnd"/>
      <w:r w:rsidRPr="00BC2F08">
        <w:rPr>
          <w:rFonts w:ascii="Times New Roman" w:eastAsia="Times New Roman" w:hAnsi="Times New Roman" w:cs="Times New Roman"/>
          <w:sz w:val="20"/>
          <w:szCs w:val="20"/>
          <w:shd w:val="clear" w:color="auto" w:fill="FFFFFF"/>
          <w:lang w:eastAsia="zh-CN"/>
        </w:rPr>
        <w:t xml:space="preserve"> 2.p. 336-353. 2012.</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sz w:val="20"/>
          <w:szCs w:val="20"/>
          <w:lang w:eastAsia="pt-BR"/>
        </w:rPr>
        <w:t xml:space="preserve">JÚNIOR, D. S.; LLANILLO, R. F.; ZANON, R. R. Sazonalidade de preços dos feijões dos grupos preto e cores no estado do </w:t>
      </w:r>
      <w:proofErr w:type="gramStart"/>
      <w:r w:rsidRPr="00BC2F08">
        <w:rPr>
          <w:rFonts w:ascii="Times New Roman" w:eastAsia="Times New Roman" w:hAnsi="Times New Roman" w:cs="Times New Roman"/>
          <w:sz w:val="20"/>
          <w:szCs w:val="20"/>
          <w:lang w:eastAsia="pt-BR"/>
        </w:rPr>
        <w:t>paraná</w:t>
      </w:r>
      <w:proofErr w:type="gramEnd"/>
      <w:r w:rsidRPr="00BC2F08">
        <w:rPr>
          <w:rFonts w:ascii="Times New Roman" w:eastAsia="Times New Roman" w:hAnsi="Times New Roman" w:cs="Times New Roman"/>
          <w:sz w:val="20"/>
          <w:szCs w:val="20"/>
          <w:lang w:eastAsia="pt-BR"/>
        </w:rPr>
        <w:t xml:space="preserve"> entre 2003 e 2013. Goiânia, </w:t>
      </w:r>
      <w:r w:rsidRPr="00BC2F08">
        <w:rPr>
          <w:rFonts w:ascii="Times New Roman" w:eastAsia="Times New Roman" w:hAnsi="Times New Roman" w:cs="Times New Roman"/>
          <w:b/>
          <w:sz w:val="20"/>
          <w:szCs w:val="20"/>
          <w:lang w:eastAsia="pt-BR"/>
        </w:rPr>
        <w:t xml:space="preserve">SOBER - Sociedade Brasileira de Economia, Administração e Sociologia Rural, </w:t>
      </w:r>
      <w:r w:rsidRPr="00BC2F08">
        <w:rPr>
          <w:rFonts w:ascii="Times New Roman" w:eastAsia="Times New Roman" w:hAnsi="Times New Roman" w:cs="Times New Roman"/>
          <w:sz w:val="20"/>
          <w:szCs w:val="20"/>
          <w:lang w:eastAsia="pt-BR"/>
        </w:rPr>
        <w:t>2014.</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sz w:val="20"/>
          <w:szCs w:val="20"/>
          <w:lang w:eastAsia="pt-BR"/>
        </w:rPr>
        <w:t xml:space="preserve">MENDES, J. T. G., PADILHA JUNIOR, J. B. Análise de preços agropecuários. In: MENDES, J. T. G., PADILHA JUNIOR, J. B. </w:t>
      </w:r>
      <w:r w:rsidRPr="00BC2F08">
        <w:rPr>
          <w:rFonts w:ascii="Times New Roman" w:eastAsia="Times New Roman" w:hAnsi="Times New Roman" w:cs="Times New Roman"/>
          <w:b/>
          <w:sz w:val="20"/>
          <w:szCs w:val="20"/>
          <w:lang w:eastAsia="pt-BR"/>
        </w:rPr>
        <w:t>Agronegócio: uma abordagem econômica.</w:t>
      </w:r>
      <w:r w:rsidRPr="00BC2F08">
        <w:rPr>
          <w:rFonts w:ascii="Times New Roman" w:eastAsia="Times New Roman" w:hAnsi="Times New Roman" w:cs="Times New Roman"/>
          <w:sz w:val="20"/>
          <w:szCs w:val="20"/>
          <w:lang w:eastAsia="pt-BR"/>
        </w:rPr>
        <w:t xml:space="preserve"> São Paulo: Pearson Prentice Hall, 2007. p 249-274.</w:t>
      </w:r>
    </w:p>
    <w:p w:rsidR="00BC2F08" w:rsidRDefault="00BC2F08" w:rsidP="00BC2F08">
      <w:pPr>
        <w:spacing w:after="0" w:line="240" w:lineRule="auto"/>
        <w:ind w:left="284" w:hanging="284"/>
        <w:jc w:val="both"/>
        <w:rPr>
          <w:rFonts w:ascii="Times New Roman" w:hAnsi="Times New Roman"/>
          <w:sz w:val="20"/>
          <w:szCs w:val="20"/>
        </w:rPr>
      </w:pPr>
      <w:r w:rsidRPr="00BC2F08">
        <w:rPr>
          <w:rFonts w:ascii="Times New Roman" w:eastAsia="Times New Roman" w:hAnsi="Times New Roman" w:cs="Times New Roman"/>
          <w:sz w:val="20"/>
          <w:szCs w:val="20"/>
          <w:lang w:eastAsia="pt-BR"/>
        </w:rPr>
        <w:t>SANTANA, A. C.</w:t>
      </w:r>
      <w:r w:rsidRPr="00BC2F08">
        <w:rPr>
          <w:rFonts w:ascii="Times New Roman" w:eastAsia="Times New Roman" w:hAnsi="Times New Roman" w:cs="Times New Roman"/>
          <w:b/>
          <w:sz w:val="20"/>
          <w:szCs w:val="20"/>
          <w:lang w:eastAsia="pt-BR"/>
        </w:rPr>
        <w:t xml:space="preserve"> Métodos quantitativos em economia: elementos e aplicações. </w:t>
      </w:r>
      <w:r w:rsidRPr="00BC2F08">
        <w:rPr>
          <w:rFonts w:ascii="Times New Roman" w:eastAsia="Times New Roman" w:hAnsi="Times New Roman" w:cs="Times New Roman"/>
          <w:sz w:val="20"/>
          <w:szCs w:val="20"/>
          <w:lang w:eastAsia="pt-BR"/>
        </w:rPr>
        <w:t xml:space="preserve">1. </w:t>
      </w:r>
      <w:proofErr w:type="gramStart"/>
      <w:r w:rsidRPr="00BC2F08">
        <w:rPr>
          <w:rFonts w:ascii="Times New Roman" w:eastAsia="Times New Roman" w:hAnsi="Times New Roman" w:cs="Times New Roman"/>
          <w:sz w:val="20"/>
          <w:szCs w:val="20"/>
          <w:lang w:eastAsia="pt-BR"/>
        </w:rPr>
        <w:t>ed.</w:t>
      </w:r>
      <w:proofErr w:type="gramEnd"/>
      <w:r w:rsidRPr="00BC2F08">
        <w:rPr>
          <w:rFonts w:ascii="Times New Roman" w:eastAsia="Times New Roman" w:hAnsi="Times New Roman" w:cs="Times New Roman"/>
          <w:sz w:val="20"/>
          <w:szCs w:val="20"/>
          <w:lang w:eastAsia="pt-BR"/>
        </w:rPr>
        <w:t xml:space="preserve"> Belém: UFRA, 2003. 485 p.</w:t>
      </w:r>
    </w:p>
    <w:p w:rsidR="00BC2F08" w:rsidRPr="009A4AE6" w:rsidRDefault="00BC2F08" w:rsidP="00BC2F08">
      <w:pPr>
        <w:spacing w:after="0" w:line="240" w:lineRule="auto"/>
        <w:ind w:left="284" w:hanging="284"/>
        <w:jc w:val="both"/>
        <w:rPr>
          <w:rFonts w:ascii="Times New Roman" w:hAnsi="Times New Roman"/>
          <w:sz w:val="20"/>
          <w:szCs w:val="20"/>
          <w:lang w:val="en-US"/>
        </w:rPr>
      </w:pPr>
      <w:r w:rsidRPr="00BC2F08">
        <w:rPr>
          <w:rFonts w:ascii="Times New Roman" w:eastAsia="Times New Roman" w:hAnsi="Times New Roman" w:cs="Times New Roman"/>
          <w:color w:val="000000"/>
          <w:sz w:val="20"/>
          <w:szCs w:val="20"/>
          <w:lang w:eastAsia="zh-CN"/>
        </w:rPr>
        <w:t>VIANA, J.G.A.; BARCHET, I</w:t>
      </w:r>
      <w:proofErr w:type="gramStart"/>
      <w:r w:rsidRPr="00BC2F08">
        <w:rPr>
          <w:rFonts w:ascii="Times New Roman" w:eastAsia="Times New Roman" w:hAnsi="Times New Roman" w:cs="Times New Roman"/>
          <w:color w:val="000000"/>
          <w:sz w:val="20"/>
          <w:szCs w:val="20"/>
          <w:lang w:eastAsia="zh-CN"/>
        </w:rPr>
        <w:t>.;</w:t>
      </w:r>
      <w:proofErr w:type="gramEnd"/>
      <w:r w:rsidRPr="00BC2F08">
        <w:rPr>
          <w:rFonts w:ascii="Times New Roman" w:eastAsia="Times New Roman" w:hAnsi="Times New Roman" w:cs="Times New Roman"/>
          <w:color w:val="000000"/>
          <w:sz w:val="20"/>
          <w:szCs w:val="20"/>
          <w:lang w:eastAsia="zh-CN"/>
        </w:rPr>
        <w:t xml:space="preserve"> ZEN, B.; SOUZA, R. S. Tendência histórica de preços pagos ao produtor de hortifrutigranjeiros do Rio Grande do Sul, Brasil. </w:t>
      </w:r>
      <w:proofErr w:type="spellStart"/>
      <w:r w:rsidRPr="00BC2F08">
        <w:rPr>
          <w:rFonts w:ascii="Times New Roman" w:eastAsia="Times New Roman" w:hAnsi="Times New Roman" w:cs="Times New Roman"/>
          <w:b/>
          <w:bCs/>
          <w:color w:val="000000"/>
          <w:sz w:val="20"/>
          <w:szCs w:val="20"/>
          <w:lang w:val="en-US" w:eastAsia="zh-CN"/>
        </w:rPr>
        <w:t>Ciência</w:t>
      </w:r>
      <w:proofErr w:type="spellEnd"/>
      <w:r w:rsidRPr="00BC2F08">
        <w:rPr>
          <w:rFonts w:ascii="Times New Roman" w:eastAsia="Times New Roman" w:hAnsi="Times New Roman" w:cs="Times New Roman"/>
          <w:color w:val="000000"/>
          <w:sz w:val="20"/>
          <w:szCs w:val="20"/>
          <w:lang w:val="en-US" w:eastAsia="zh-CN"/>
        </w:rPr>
        <w:br/>
      </w:r>
      <w:r w:rsidRPr="00BC2F08">
        <w:rPr>
          <w:rFonts w:ascii="Times New Roman" w:eastAsia="Times New Roman" w:hAnsi="Times New Roman" w:cs="Times New Roman"/>
          <w:b/>
          <w:bCs/>
          <w:color w:val="000000"/>
          <w:sz w:val="20"/>
          <w:szCs w:val="20"/>
          <w:lang w:val="en-US" w:eastAsia="zh-CN"/>
        </w:rPr>
        <w:t>Rural</w:t>
      </w:r>
      <w:r w:rsidRPr="00BC2F08">
        <w:rPr>
          <w:rFonts w:ascii="Times New Roman" w:eastAsia="Times New Roman" w:hAnsi="Times New Roman" w:cs="Times New Roman"/>
          <w:color w:val="000000"/>
          <w:sz w:val="20"/>
          <w:szCs w:val="20"/>
          <w:lang w:val="en-US" w:eastAsia="zh-CN"/>
        </w:rPr>
        <w:t xml:space="preserve">. Santa Maria. </w:t>
      </w:r>
      <w:proofErr w:type="gramStart"/>
      <w:r w:rsidRPr="00BC2F08">
        <w:rPr>
          <w:rFonts w:ascii="Times New Roman" w:eastAsia="Times New Roman" w:hAnsi="Times New Roman" w:cs="Times New Roman"/>
          <w:color w:val="000000"/>
          <w:sz w:val="20"/>
          <w:szCs w:val="20"/>
          <w:lang w:val="en-US" w:eastAsia="zh-CN"/>
        </w:rPr>
        <w:t>v.40. n.7.</w:t>
      </w:r>
      <w:proofErr w:type="gramEnd"/>
      <w:r w:rsidRPr="00BC2F08">
        <w:rPr>
          <w:rFonts w:ascii="Times New Roman" w:eastAsia="Times New Roman" w:hAnsi="Times New Roman" w:cs="Times New Roman"/>
          <w:color w:val="000000"/>
          <w:sz w:val="20"/>
          <w:szCs w:val="20"/>
          <w:lang w:val="en-US" w:eastAsia="zh-CN"/>
        </w:rPr>
        <w:t xml:space="preserve"> p. 1643-1650. 2010.</w:t>
      </w:r>
    </w:p>
    <w:p w:rsidR="00BC2F08" w:rsidRPr="004824FB" w:rsidRDefault="00BC2F08" w:rsidP="00BC2F08">
      <w:pPr>
        <w:spacing w:after="0" w:line="240" w:lineRule="auto"/>
        <w:ind w:left="284" w:hanging="284"/>
        <w:jc w:val="both"/>
        <w:rPr>
          <w:rFonts w:ascii="Times New Roman" w:hAnsi="Times New Roman"/>
          <w:sz w:val="20"/>
          <w:szCs w:val="20"/>
          <w:lang w:val="en-US"/>
        </w:rPr>
      </w:pPr>
      <w:r w:rsidRPr="00BC2F08">
        <w:rPr>
          <w:rFonts w:ascii="Times New Roman" w:eastAsia="Times New Roman" w:hAnsi="Times New Roman" w:cs="Times New Roman"/>
          <w:sz w:val="20"/>
          <w:szCs w:val="20"/>
          <w:lang w:val="en-US" w:eastAsia="zh-CN"/>
        </w:rPr>
        <w:t xml:space="preserve">WHITE, J. W. </w:t>
      </w:r>
      <w:r w:rsidRPr="00BC2F08">
        <w:rPr>
          <w:rFonts w:ascii="Times New Roman" w:eastAsia="Times New Roman" w:hAnsi="Times New Roman" w:cs="Times New Roman"/>
          <w:b/>
          <w:sz w:val="20"/>
          <w:szCs w:val="20"/>
          <w:lang w:val="en-US" w:eastAsia="zh-CN"/>
        </w:rPr>
        <w:t>Implications of carbon isotope discrimination studies for breeding common bean under water deficits</w:t>
      </w:r>
      <w:r w:rsidRPr="00BC2F08">
        <w:rPr>
          <w:rFonts w:ascii="Times New Roman" w:eastAsia="Times New Roman" w:hAnsi="Times New Roman" w:cs="Times New Roman"/>
          <w:sz w:val="20"/>
          <w:szCs w:val="20"/>
          <w:lang w:val="en-US" w:eastAsia="zh-CN"/>
        </w:rPr>
        <w:t xml:space="preserve">. In: EHLRINGER, J. R.; HALL, A. E.; FARQUHAR, G. D.; SAUGIE, B. (Ed.). </w:t>
      </w:r>
      <w:proofErr w:type="gramStart"/>
      <w:r w:rsidRPr="00BC2F08">
        <w:rPr>
          <w:rFonts w:ascii="Times New Roman" w:eastAsia="Times New Roman" w:hAnsi="Times New Roman" w:cs="Times New Roman"/>
          <w:sz w:val="20"/>
          <w:szCs w:val="20"/>
          <w:lang w:val="en-US" w:eastAsia="zh-CN"/>
        </w:rPr>
        <w:t>Stable isotopes and plant carbon-water relations.</w:t>
      </w:r>
      <w:proofErr w:type="gramEnd"/>
      <w:r w:rsidRPr="00BC2F08">
        <w:rPr>
          <w:rFonts w:ascii="Times New Roman" w:eastAsia="Times New Roman" w:hAnsi="Times New Roman" w:cs="Times New Roman"/>
          <w:sz w:val="20"/>
          <w:szCs w:val="20"/>
          <w:lang w:val="en-US" w:eastAsia="zh-CN"/>
        </w:rPr>
        <w:t xml:space="preserve"> San Diego: A</w:t>
      </w:r>
      <w:bookmarkStart w:id="0" w:name="_GoBack"/>
      <w:bookmarkEnd w:id="0"/>
      <w:r w:rsidRPr="00BC2F08">
        <w:rPr>
          <w:rFonts w:ascii="Times New Roman" w:eastAsia="Times New Roman" w:hAnsi="Times New Roman" w:cs="Times New Roman"/>
          <w:sz w:val="20"/>
          <w:szCs w:val="20"/>
          <w:lang w:val="en-US" w:eastAsia="zh-CN"/>
        </w:rPr>
        <w:t>cademic Press, 1993. p. 387-398.</w:t>
      </w:r>
    </w:p>
    <w:sectPr w:rsidR="00BC2F08" w:rsidRPr="004824FB" w:rsidSect="00A42322">
      <w:type w:val="continuous"/>
      <w:pgSz w:w="11906" w:h="16838"/>
      <w:pgMar w:top="1134" w:right="851" w:bottom="1134" w:left="851" w:header="709" w:footer="709" w:gutter="0"/>
      <w:cols w:num="2"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2C" w:rsidRDefault="00AD2E2C" w:rsidP="004A4A94">
      <w:pPr>
        <w:spacing w:after="0" w:line="240" w:lineRule="auto"/>
      </w:pPr>
      <w:r>
        <w:separator/>
      </w:r>
    </w:p>
  </w:endnote>
  <w:endnote w:type="continuationSeparator" w:id="0">
    <w:p w:rsidR="00AD2E2C" w:rsidRDefault="00AD2E2C" w:rsidP="004A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94" w:rsidRDefault="00D56962">
    <w:pPr>
      <w:pStyle w:val="Rodap"/>
    </w:pPr>
    <w:r>
      <w:rPr>
        <w:noProof/>
        <w:lang w:val="pt-BR" w:eastAsia="pt-BR"/>
      </w:rPr>
      <mc:AlternateContent>
        <mc:Choice Requires="wps">
          <w:drawing>
            <wp:anchor distT="0" distB="0" distL="114300" distR="114300" simplePos="0" relativeHeight="251661312" behindDoc="0" locked="0" layoutInCell="1" allowOverlap="1" wp14:anchorId="40AF7613" wp14:editId="26517B2A">
              <wp:simplePos x="0" y="0"/>
              <wp:positionH relativeFrom="column">
                <wp:posOffset>-111760</wp:posOffset>
              </wp:positionH>
              <wp:positionV relativeFrom="paragraph">
                <wp:posOffset>167971</wp:posOffset>
              </wp:positionV>
              <wp:extent cx="4904740" cy="261620"/>
              <wp:effectExtent l="0" t="0" r="0" b="508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261620"/>
                      </a:xfrm>
                      <a:prstGeom prst="rect">
                        <a:avLst/>
                      </a:prstGeom>
                      <a:noFill/>
                      <a:ln w="9525">
                        <a:noFill/>
                        <a:miter lim="800000"/>
                        <a:headEnd/>
                        <a:tailEnd/>
                      </a:ln>
                    </wps:spPr>
                    <wps:txbx>
                      <w:txbxContent>
                        <w:p w:rsidR="004A4A94" w:rsidRPr="004A4A94" w:rsidRDefault="00D963E8">
                          <w:pPr>
                            <w:rPr>
                              <w:color w:val="FFFFFF" w:themeColor="background1"/>
                              <w:sz w:val="20"/>
                              <w:szCs w:val="20"/>
                            </w:rPr>
                          </w:pPr>
                          <w:r w:rsidRPr="00194994">
                            <w:rPr>
                              <w:rFonts w:ascii="Times New Roman" w:hAnsi="Times New Roman"/>
                              <w:b/>
                              <w:i/>
                              <w:color w:val="FFFFFF" w:themeColor="background1"/>
                              <w:sz w:val="20"/>
                              <w:szCs w:val="20"/>
                            </w:rPr>
                            <w:t>Revista Verde</w:t>
                          </w:r>
                          <w:r w:rsidR="004A4A94" w:rsidRPr="004A4A94">
                            <w:rPr>
                              <w:rFonts w:ascii="Times New Roman" w:hAnsi="Times New Roman"/>
                              <w:b/>
                              <w:i/>
                              <w:color w:val="FFFFFF" w:themeColor="background1"/>
                              <w:sz w:val="20"/>
                              <w:szCs w:val="20"/>
                            </w:rPr>
                            <w:t xml:space="preserve"> (Pombal - </w:t>
                          </w:r>
                          <w:r w:rsidR="003B7FBB">
                            <w:rPr>
                              <w:rFonts w:ascii="Times New Roman" w:hAnsi="Times New Roman"/>
                              <w:b/>
                              <w:i/>
                              <w:color w:val="FFFFFF" w:themeColor="background1"/>
                              <w:sz w:val="20"/>
                              <w:szCs w:val="20"/>
                            </w:rPr>
                            <w:t xml:space="preserve">PB -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8pt;margin-top:13.25pt;width:386.2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" filled="f" stroked="f">
              <v:textbox>
                <w:txbxContent>
                  <w:p w:rsidR="004A4A94" w:rsidRPr="004A4A94" w:rsidRDefault="00D963E8">
                    <w:pPr>
                      <w:rPr>
                        <w:color w:val="FFFFFF" w:themeColor="background1"/>
                        <w:sz w:val="20"/>
                        <w:szCs w:val="20"/>
                      </w:rPr>
                    </w:pPr>
                    <w:r w:rsidRPr="00194994">
                      <w:rPr>
                        <w:rFonts w:ascii="Times New Roman" w:hAnsi="Times New Roman"/>
                        <w:b/>
                        <w:i/>
                        <w:color w:val="FFFFFF" w:themeColor="background1"/>
                        <w:sz w:val="20"/>
                        <w:szCs w:val="20"/>
                      </w:rPr>
                      <w:t>Revista Verde</w:t>
                    </w:r>
                    <w:r w:rsidR="004A4A94" w:rsidRPr="004A4A94">
                      <w:rPr>
                        <w:rFonts w:ascii="Times New Roman" w:hAnsi="Times New Roman"/>
                        <w:b/>
                        <w:i/>
                        <w:color w:val="FFFFFF" w:themeColor="background1"/>
                        <w:sz w:val="20"/>
                        <w:szCs w:val="20"/>
                      </w:rPr>
                      <w:t xml:space="preserve"> (Pombal - </w:t>
                    </w:r>
                    <w:r w:rsidR="003B7FBB">
                      <w:rPr>
                        <w:rFonts w:ascii="Times New Roman" w:hAnsi="Times New Roman"/>
                        <w:b/>
                        <w:i/>
                        <w:color w:val="FFFFFF" w:themeColor="background1"/>
                        <w:sz w:val="20"/>
                        <w:szCs w:val="20"/>
                      </w:rPr>
                      <w:t xml:space="preserve">PB -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v:textbox>
            </v:shape>
          </w:pict>
        </mc:Fallback>
      </mc:AlternateContent>
    </w:r>
    <w:r>
      <w:rPr>
        <w:noProof/>
        <w:lang w:val="pt-BR" w:eastAsia="pt-BR"/>
      </w:rPr>
      <mc:AlternateContent>
        <mc:Choice Requires="wps">
          <w:drawing>
            <wp:anchor distT="0" distB="0" distL="114300" distR="114300" simplePos="0" relativeHeight="251659264" behindDoc="0" locked="0" layoutInCell="1" allowOverlap="1" wp14:anchorId="1EEEBFF2" wp14:editId="4846578B">
              <wp:simplePos x="0" y="0"/>
              <wp:positionH relativeFrom="column">
                <wp:posOffset>1875155</wp:posOffset>
              </wp:positionH>
              <wp:positionV relativeFrom="paragraph">
                <wp:posOffset>-2425369</wp:posOffset>
              </wp:positionV>
              <wp:extent cx="269875" cy="5478145"/>
              <wp:effectExtent l="5715" t="0" r="2540" b="2540"/>
              <wp:wrapNone/>
              <wp:docPr id="3" name="Arredondar Retângulo no Mesmo Canto Lateral 3"/>
              <wp:cNvGraphicFramePr/>
              <a:graphic xmlns:a="http://schemas.openxmlformats.org/drawingml/2006/main">
                <a:graphicData uri="http://schemas.microsoft.com/office/word/2010/wordprocessingShape">
                  <wps:wsp>
                    <wps:cNvSpPr/>
                    <wps:spPr>
                      <a:xfrm rot="5400000">
                        <a:off x="0" y="0"/>
                        <a:ext cx="269875" cy="547814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3" o:spid="_x0000_s1026" style="position:absolute;margin-left:147.65pt;margin-top:-190.95pt;width:21.25pt;height:43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BB" w:rsidRDefault="00D56962">
    <w:pPr>
      <w:pStyle w:val="Rodap"/>
    </w:pPr>
    <w:r w:rsidRPr="003B7FBB">
      <w:rPr>
        <w:noProof/>
        <w:lang w:val="pt-BR" w:eastAsia="pt-BR"/>
      </w:rPr>
      <mc:AlternateContent>
        <mc:Choice Requires="wps">
          <w:drawing>
            <wp:anchor distT="0" distB="0" distL="114300" distR="114300" simplePos="0" relativeHeight="251664384" behindDoc="0" locked="0" layoutInCell="1" allowOverlap="1" wp14:anchorId="4D9944EA" wp14:editId="0BF5A18C">
              <wp:simplePos x="0" y="0"/>
              <wp:positionH relativeFrom="column">
                <wp:posOffset>2253919</wp:posOffset>
              </wp:positionH>
              <wp:positionV relativeFrom="paragraph">
                <wp:posOffset>186055</wp:posOffset>
              </wp:positionV>
              <wp:extent cx="4547870" cy="261620"/>
              <wp:effectExtent l="0" t="0" r="0" b="508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261620"/>
                      </a:xfrm>
                      <a:prstGeom prst="rect">
                        <a:avLst/>
                      </a:prstGeom>
                      <a:noFill/>
                      <a:ln w="9525">
                        <a:noFill/>
                        <a:miter lim="800000"/>
                        <a:headEnd/>
                        <a:tailEnd/>
                      </a:ln>
                    </wps:spPr>
                    <wps:txbx>
                      <w:txbxContent>
                        <w:p w:rsidR="003B7FBB" w:rsidRPr="004A4A94" w:rsidRDefault="00194994" w:rsidP="003B7FBB">
                          <w:pPr>
                            <w:rPr>
                              <w:color w:val="FFFFFF" w:themeColor="background1"/>
                              <w:sz w:val="20"/>
                              <w:szCs w:val="20"/>
                            </w:rPr>
                          </w:pPr>
                          <w:r w:rsidRPr="00194994">
                            <w:rPr>
                              <w:rFonts w:ascii="Times New Roman" w:hAnsi="Times New Roman"/>
                              <w:b/>
                              <w:i/>
                              <w:color w:val="FFFFFF" w:themeColor="background1"/>
                              <w:sz w:val="20"/>
                              <w:szCs w:val="20"/>
                            </w:rPr>
                            <w:t>Revista Verde</w:t>
                          </w:r>
                          <w:r w:rsidR="003B7FBB" w:rsidRPr="004A4A94">
                            <w:rPr>
                              <w:rFonts w:ascii="Times New Roman" w:hAnsi="Times New Roman"/>
                              <w:b/>
                              <w:i/>
                              <w:color w:val="FFFFFF" w:themeColor="background1"/>
                              <w:sz w:val="20"/>
                              <w:szCs w:val="20"/>
                            </w:rPr>
                            <w:t xml:space="preserve"> (Pombal - </w:t>
                          </w:r>
                          <w:r w:rsidR="003B7FBB">
                            <w:rPr>
                              <w:rFonts w:ascii="Times New Roman" w:hAnsi="Times New Roman"/>
                              <w:b/>
                              <w:i/>
                              <w:color w:val="FFFFFF" w:themeColor="background1"/>
                              <w:sz w:val="20"/>
                              <w:szCs w:val="20"/>
                            </w:rPr>
                            <w:t xml:space="preserve">PB </w:t>
                          </w:r>
                          <w:r w:rsidR="0035297A">
                            <w:rPr>
                              <w:rFonts w:ascii="Times New Roman" w:hAnsi="Times New Roman"/>
                              <w:b/>
                              <w:i/>
                              <w:color w:val="FFFFFF" w:themeColor="background1"/>
                              <w:sz w:val="20"/>
                              <w:szCs w:val="20"/>
                            </w:rPr>
                            <w:t xml:space="preserve">-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77.45pt;margin-top:14.65pt;width:358.1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" filled="f" stroked="f">
              <v:textbox>
                <w:txbxContent>
                  <w:p w:rsidR="003B7FBB" w:rsidRPr="004A4A94" w:rsidRDefault="00194994" w:rsidP="003B7FBB">
                    <w:pPr>
                      <w:rPr>
                        <w:color w:val="FFFFFF" w:themeColor="background1"/>
                        <w:sz w:val="20"/>
                        <w:szCs w:val="20"/>
                      </w:rPr>
                    </w:pPr>
                    <w:r w:rsidRPr="00194994">
                      <w:rPr>
                        <w:rFonts w:ascii="Times New Roman" w:hAnsi="Times New Roman"/>
                        <w:b/>
                        <w:i/>
                        <w:color w:val="FFFFFF" w:themeColor="background1"/>
                        <w:sz w:val="20"/>
                        <w:szCs w:val="20"/>
                      </w:rPr>
                      <w:t>Revista Verde</w:t>
                    </w:r>
                    <w:r w:rsidR="003B7FBB" w:rsidRPr="004A4A94">
                      <w:rPr>
                        <w:rFonts w:ascii="Times New Roman" w:hAnsi="Times New Roman"/>
                        <w:b/>
                        <w:i/>
                        <w:color w:val="FFFFFF" w:themeColor="background1"/>
                        <w:sz w:val="20"/>
                        <w:szCs w:val="20"/>
                      </w:rPr>
                      <w:t xml:space="preserve"> (Pombal - </w:t>
                    </w:r>
                    <w:r w:rsidR="003B7FBB">
                      <w:rPr>
                        <w:rFonts w:ascii="Times New Roman" w:hAnsi="Times New Roman"/>
                        <w:b/>
                        <w:i/>
                        <w:color w:val="FFFFFF" w:themeColor="background1"/>
                        <w:sz w:val="20"/>
                        <w:szCs w:val="20"/>
                      </w:rPr>
                      <w:t xml:space="preserve">PB </w:t>
                    </w:r>
                    <w:r w:rsidR="0035297A">
                      <w:rPr>
                        <w:rFonts w:ascii="Times New Roman" w:hAnsi="Times New Roman"/>
                        <w:b/>
                        <w:i/>
                        <w:color w:val="FFFFFF" w:themeColor="background1"/>
                        <w:sz w:val="20"/>
                        <w:szCs w:val="20"/>
                      </w:rPr>
                      <w:t xml:space="preserve">-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v:textbox>
            </v:shape>
          </w:pict>
        </mc:Fallback>
      </mc:AlternateContent>
    </w:r>
    <w:r w:rsidRPr="003B7FBB">
      <w:rPr>
        <w:noProof/>
        <w:lang w:val="pt-BR" w:eastAsia="pt-BR"/>
      </w:rPr>
      <mc:AlternateContent>
        <mc:Choice Requires="wps">
          <w:drawing>
            <wp:anchor distT="0" distB="0" distL="114300" distR="114300" simplePos="0" relativeHeight="251663360" behindDoc="0" locked="0" layoutInCell="1" allowOverlap="1" wp14:anchorId="694337D9" wp14:editId="52C25E51">
              <wp:simplePos x="0" y="0"/>
              <wp:positionH relativeFrom="column">
                <wp:posOffset>4525645</wp:posOffset>
              </wp:positionH>
              <wp:positionV relativeFrom="paragraph">
                <wp:posOffset>-2272969</wp:posOffset>
              </wp:positionV>
              <wp:extent cx="269875" cy="5175885"/>
              <wp:effectExtent l="4445" t="0" r="1270" b="1270"/>
              <wp:wrapNone/>
              <wp:docPr id="5" name="Arredondar Retângulo no Mesmo Canto Lateral 5"/>
              <wp:cNvGraphicFramePr/>
              <a:graphic xmlns:a="http://schemas.openxmlformats.org/drawingml/2006/main">
                <a:graphicData uri="http://schemas.microsoft.com/office/word/2010/wordprocessingShape">
                  <wps:wsp>
                    <wps:cNvSpPr/>
                    <wps:spPr>
                      <a:xfrm rot="16200000">
                        <a:off x="0" y="0"/>
                        <a:ext cx="269875" cy="517588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5" o:spid="_x0000_s1026" style="position:absolute;margin-left:356.35pt;margin-top:-178.95pt;width:21.25pt;height:407.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1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" path="m44980,l224895,v24842,,44980,20138,44980,44980l269875,5175885r,l,5175885r,l,44980c,20138,20138,,44980,xe" fillcolor="#114b0d" stroked="f" strokeweight="2pt">
              <v:path arrowok="t" o:connecttype="custom" o:connectlocs="44980,0;224895,0;269875,44980;269875,5175885;269875,5175885;0,5175885;0,5175885;0,44980;44980,0" o:connectangles="0,0,0,0,0,0,0,0,0"/>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90" w:rsidRPr="00C72B90" w:rsidRDefault="00C72B90" w:rsidP="00C72B90">
    <w:pPr>
      <w:spacing w:after="0" w:line="240" w:lineRule="auto"/>
      <w:rPr>
        <w:rFonts w:ascii="Times New Roman" w:eastAsia="Times New Roman" w:hAnsi="Times New Roman" w:cs="Times New Roman"/>
        <w:sz w:val="18"/>
        <w:szCs w:val="18"/>
        <w:lang w:eastAsia="pt-BR"/>
      </w:rPr>
    </w:pPr>
    <w:r w:rsidRPr="00C72B90">
      <w:rPr>
        <w:rFonts w:ascii="Times New Roman" w:hAnsi="Times New Roman" w:cs="Times New Roman"/>
        <w:sz w:val="18"/>
        <w:szCs w:val="18"/>
        <w:shd w:val="clear" w:color="auto" w:fill="FFFFFF"/>
      </w:rPr>
      <w:t>___________________</w:t>
    </w:r>
  </w:p>
  <w:p w:rsidR="00C72B90" w:rsidRPr="00E924A5" w:rsidRDefault="00C72B90" w:rsidP="00C72B90">
    <w:pPr>
      <w:autoSpaceDE w:val="0"/>
      <w:autoSpaceDN w:val="0"/>
      <w:adjustRightInd w:val="0"/>
      <w:spacing w:after="0" w:line="240" w:lineRule="auto"/>
      <w:rPr>
        <w:rFonts w:ascii="Times New Roman" w:hAnsi="Times New Roman"/>
        <w:sz w:val="16"/>
        <w:szCs w:val="16"/>
      </w:rPr>
    </w:pPr>
    <w:r w:rsidRPr="00E924A5">
      <w:rPr>
        <w:rFonts w:ascii="Times New Roman" w:hAnsi="Times New Roman"/>
        <w:sz w:val="16"/>
        <w:szCs w:val="16"/>
      </w:rPr>
      <w:t>*Autor para correspondência</w:t>
    </w:r>
  </w:p>
  <w:p w:rsidR="00C72B90" w:rsidRPr="00E924A5" w:rsidRDefault="00C72B90" w:rsidP="00C72B90">
    <w:pPr>
      <w:pStyle w:val="SemEspaamento"/>
      <w:rPr>
        <w:rFonts w:ascii="Times New Roman" w:hAnsi="Times New Roman"/>
        <w:sz w:val="16"/>
        <w:szCs w:val="16"/>
      </w:rPr>
    </w:pPr>
    <w:r w:rsidRPr="00E924A5">
      <w:rPr>
        <w:rFonts w:ascii="Times New Roman" w:hAnsi="Times New Roman"/>
        <w:sz w:val="16"/>
        <w:szCs w:val="16"/>
      </w:rPr>
      <w:t>Recebido para publicação em XX/XX/XXX; aprovado em XX/XX/</w:t>
    </w:r>
    <w:proofErr w:type="gramStart"/>
    <w:r w:rsidRPr="00E924A5">
      <w:rPr>
        <w:rFonts w:ascii="Times New Roman" w:hAnsi="Times New Roman"/>
        <w:sz w:val="16"/>
        <w:szCs w:val="16"/>
      </w:rPr>
      <w:t>XXXX</w:t>
    </w:r>
    <w:proofErr w:type="gramEnd"/>
  </w:p>
  <w:p w:rsidR="003A3FCC" w:rsidRDefault="00186CF6" w:rsidP="00186CF6">
    <w:pPr>
      <w:pStyle w:val="SemEspaamento"/>
      <w:rPr>
        <w:rFonts w:ascii="Times New Roman" w:hAnsi="Times New Roman"/>
        <w:sz w:val="16"/>
        <w:szCs w:val="16"/>
        <w:vertAlign w:val="superscript"/>
      </w:rPr>
    </w:pPr>
    <w:proofErr w:type="gramStart"/>
    <w:r w:rsidRPr="00186CF6">
      <w:rPr>
        <w:rFonts w:ascii="Times New Roman" w:hAnsi="Times New Roman"/>
        <w:sz w:val="16"/>
        <w:szCs w:val="16"/>
        <w:vertAlign w:val="superscript"/>
      </w:rPr>
      <w:t>1</w:t>
    </w:r>
    <w:proofErr w:type="gramEnd"/>
    <w:r w:rsidR="003A3FCC" w:rsidRPr="003A3FCC">
      <w:rPr>
        <w:rFonts w:ascii="Times New Roman" w:hAnsi="Times New Roman"/>
        <w:sz w:val="16"/>
        <w:szCs w:val="16"/>
      </w:rPr>
      <w:t xml:space="preserve"> </w:t>
    </w:r>
    <w:r w:rsidR="003A3FCC">
      <w:rPr>
        <w:rFonts w:ascii="Times New Roman" w:hAnsi="Times New Roman"/>
        <w:sz w:val="16"/>
        <w:szCs w:val="16"/>
      </w:rPr>
      <w:t>XXXXXXXXXXXXXXXXXX</w:t>
    </w:r>
    <w:r w:rsidR="003A3FCC" w:rsidRPr="00186CF6">
      <w:rPr>
        <w:rFonts w:ascii="Times New Roman" w:hAnsi="Times New Roman"/>
        <w:sz w:val="16"/>
        <w:szCs w:val="16"/>
        <w:vertAlign w:val="superscript"/>
      </w:rPr>
      <w:t xml:space="preserve"> </w:t>
    </w:r>
  </w:p>
  <w:p w:rsidR="00186CF6" w:rsidRPr="00186CF6" w:rsidRDefault="00186CF6" w:rsidP="00186CF6">
    <w:pPr>
      <w:pStyle w:val="SemEspaamento"/>
      <w:rPr>
        <w:rFonts w:ascii="Times New Roman" w:hAnsi="Times New Roman"/>
        <w:sz w:val="16"/>
        <w:szCs w:val="16"/>
      </w:rPr>
    </w:pPr>
    <w:proofErr w:type="gramStart"/>
    <w:r w:rsidRPr="00186CF6">
      <w:rPr>
        <w:rFonts w:ascii="Times New Roman" w:hAnsi="Times New Roman"/>
        <w:sz w:val="16"/>
        <w:szCs w:val="16"/>
        <w:vertAlign w:val="superscript"/>
      </w:rPr>
      <w:t>2</w:t>
    </w:r>
    <w:proofErr w:type="gramEnd"/>
    <w:r w:rsidRPr="00186CF6">
      <w:rPr>
        <w:rFonts w:ascii="Times New Roman" w:hAnsi="Times New Roman"/>
        <w:sz w:val="16"/>
        <w:szCs w:val="16"/>
      </w:rPr>
      <w:t xml:space="preserve"> </w:t>
    </w:r>
    <w:r w:rsidR="003A3FCC">
      <w:rPr>
        <w:rFonts w:ascii="Times New Roman" w:hAnsi="Times New Roman"/>
        <w:sz w:val="16"/>
        <w:szCs w:val="16"/>
      </w:rPr>
      <w:t>XXX</w:t>
    </w:r>
    <w:r w:rsidR="003A3FCC" w:rsidRPr="003A3FCC">
      <w:rPr>
        <w:rFonts w:ascii="Times New Roman" w:hAnsi="Times New Roman"/>
        <w:sz w:val="16"/>
        <w:szCs w:val="16"/>
      </w:rPr>
      <w:t xml:space="preserve"> </w:t>
    </w:r>
    <w:r w:rsidR="003A3FCC">
      <w:rPr>
        <w:rFonts w:ascii="Times New Roman" w:hAnsi="Times New Roman"/>
        <w:sz w:val="16"/>
        <w:szCs w:val="16"/>
      </w:rPr>
      <w:t>XXXXXXXXXXXXXXXXXX</w:t>
    </w:r>
    <w:r w:rsidR="003A3FCC">
      <w:rPr>
        <w:rFonts w:ascii="Times New Roman" w:hAnsi="Times New Roman"/>
        <w:sz w:val="16"/>
        <w:szCs w:val="16"/>
      </w:rPr>
      <w:t xml:space="preserve"> </w:t>
    </w:r>
    <w:proofErr w:type="spellStart"/>
    <w:r w:rsidR="003A3FCC">
      <w:rPr>
        <w:rFonts w:ascii="Times New Roman" w:hAnsi="Times New Roman"/>
        <w:sz w:val="16"/>
        <w:szCs w:val="16"/>
      </w:rPr>
      <w:t>XXXXXXXXXXXXXXXXXX</w:t>
    </w:r>
    <w:proofErr w:type="spellEnd"/>
    <w:r w:rsidR="003A3FCC">
      <w:rPr>
        <w:rFonts w:ascii="Times New Roman" w:hAnsi="Times New Roman"/>
        <w:sz w:val="16"/>
        <w:szCs w:val="16"/>
      </w:rPr>
      <w:t xml:space="preserve"> </w:t>
    </w:r>
    <w:proofErr w:type="spellStart"/>
    <w:r w:rsidR="003A3FCC">
      <w:rPr>
        <w:rFonts w:ascii="Times New Roman" w:hAnsi="Times New Roman"/>
        <w:sz w:val="16"/>
        <w:szCs w:val="16"/>
      </w:rPr>
      <w:t>XXXXXXXXXXXXXXXXXX</w:t>
    </w:r>
    <w:proofErr w:type="spellEnd"/>
    <w:r w:rsidR="003A3FCC">
      <w:rPr>
        <w:rFonts w:ascii="Times New Roman" w:hAnsi="Times New Roman"/>
        <w:sz w:val="16"/>
        <w:szCs w:val="16"/>
      </w:rPr>
      <w:t xml:space="preserve"> </w:t>
    </w:r>
    <w:proofErr w:type="spellStart"/>
    <w:r w:rsidR="003A3FCC">
      <w:rPr>
        <w:rFonts w:ascii="Times New Roman" w:hAnsi="Times New Roman"/>
        <w:sz w:val="16"/>
        <w:szCs w:val="16"/>
      </w:rPr>
      <w:t>XXXXXXXXXXXXXXXXXX</w:t>
    </w:r>
    <w:proofErr w:type="spellEnd"/>
    <w:r w:rsidR="003A3FCC">
      <w:rPr>
        <w:rFonts w:ascii="Times New Roman" w:hAnsi="Times New Roman"/>
        <w:sz w:val="16"/>
        <w:szCs w:val="16"/>
      </w:rPr>
      <w:t xml:space="preserve"> V</w:t>
    </w:r>
    <w:r w:rsidR="003A3FCC" w:rsidRPr="003A3FCC">
      <w:rPr>
        <w:rFonts w:ascii="Times New Roman" w:hAnsi="Times New Roman"/>
        <w:sz w:val="16"/>
        <w:szCs w:val="16"/>
      </w:rPr>
      <w:t xml:space="preserve"> </w:t>
    </w:r>
    <w:r w:rsidR="003A3FCC">
      <w:rPr>
        <w:rFonts w:ascii="Times New Roman" w:hAnsi="Times New Roman"/>
        <w:sz w:val="16"/>
        <w:szCs w:val="16"/>
      </w:rPr>
      <w:t>XXXXXXXXXXXXXXXXXX</w:t>
    </w:r>
    <w:r w:rsidR="003A3FCC">
      <w:rPr>
        <w:rFonts w:ascii="Times New Roman" w:hAnsi="Times New Roman"/>
        <w:sz w:val="16"/>
        <w:szCs w:val="16"/>
      </w:rPr>
      <w:t xml:space="preserve"> </w:t>
    </w:r>
    <w:proofErr w:type="spellStart"/>
    <w:r w:rsidR="003A3FCC">
      <w:rPr>
        <w:rFonts w:ascii="Times New Roman" w:hAnsi="Times New Roman"/>
        <w:sz w:val="16"/>
        <w:szCs w:val="16"/>
      </w:rPr>
      <w:t>XXXXXXXXXXXXXXXXXX</w:t>
    </w:r>
    <w:proofErr w:type="spellEnd"/>
    <w:r w:rsidR="003A3FCC">
      <w:rPr>
        <w:rFonts w:ascii="Times New Roman" w:hAnsi="Times New Roman"/>
        <w:sz w:val="16"/>
        <w:szCs w:val="16"/>
      </w:rPr>
      <w:t xml:space="preserve"> VV</w:t>
    </w:r>
    <w:r w:rsidR="003A3FCC" w:rsidRPr="003A3FCC">
      <w:rPr>
        <w:rFonts w:ascii="Times New Roman" w:hAnsi="Times New Roman"/>
        <w:sz w:val="16"/>
        <w:szCs w:val="16"/>
      </w:rPr>
      <w:t xml:space="preserve"> </w:t>
    </w:r>
    <w:r w:rsidR="003A3FCC">
      <w:rPr>
        <w:rFonts w:ascii="Times New Roman" w:hAnsi="Times New Roman"/>
        <w:sz w:val="16"/>
        <w:szCs w:val="16"/>
      </w:rPr>
      <w:t>XXXXXXXXXXXXXXXXXX</w:t>
    </w:r>
    <w:r w:rsidR="003A3FCC">
      <w:rPr>
        <w:rFonts w:ascii="Times New Roman" w:hAnsi="Times New Roman"/>
        <w:sz w:val="16"/>
        <w:szCs w:val="16"/>
      </w:rPr>
      <w:t xml:space="preserve"> </w:t>
    </w:r>
    <w:proofErr w:type="spellStart"/>
    <w:r w:rsidR="003A3FCC">
      <w:rPr>
        <w:rFonts w:ascii="Times New Roman" w:hAnsi="Times New Roman"/>
        <w:sz w:val="16"/>
        <w:szCs w:val="16"/>
      </w:rPr>
      <w:t>XXXXXXXXXXXXXXXXXX</w:t>
    </w:r>
    <w:proofErr w:type="spellEnd"/>
    <w:r w:rsidR="003A3FCC">
      <w:rPr>
        <w:rFonts w:ascii="Times New Roman" w:hAnsi="Times New Roman"/>
        <w:sz w:val="16"/>
        <w:szCs w:val="16"/>
      </w:rPr>
      <w:t xml:space="preserve"> V</w:t>
    </w:r>
    <w:r w:rsidR="003A3FCC" w:rsidRPr="003A3FCC">
      <w:rPr>
        <w:rFonts w:ascii="Times New Roman" w:hAnsi="Times New Roman"/>
        <w:sz w:val="16"/>
        <w:szCs w:val="16"/>
      </w:rPr>
      <w:t xml:space="preserve"> </w:t>
    </w:r>
    <w:r w:rsidR="003A3FCC">
      <w:rPr>
        <w:rFonts w:ascii="Times New Roman" w:hAnsi="Times New Roman"/>
        <w:sz w:val="16"/>
        <w:szCs w:val="16"/>
      </w:rPr>
      <w:t>XXXXXXXXXXXXXXXXXX</w:t>
    </w:r>
    <w:r w:rsidR="003A3FCC">
      <w:rPr>
        <w:rFonts w:ascii="Times New Roman" w:hAnsi="Times New Roman"/>
        <w:sz w:val="16"/>
        <w:szCs w:val="16"/>
      </w:rPr>
      <w:t xml:space="preserve"> </w:t>
    </w:r>
    <w:proofErr w:type="spellStart"/>
    <w:r w:rsidR="003A3FCC">
      <w:rPr>
        <w:rFonts w:ascii="Times New Roman" w:hAnsi="Times New Roman"/>
        <w:sz w:val="16"/>
        <w:szCs w:val="16"/>
      </w:rPr>
      <w:t>XXXXXXXXXXXXXXXXXX</w:t>
    </w:r>
    <w:proofErr w:type="spellEnd"/>
    <w:r w:rsidR="003A3FCC">
      <w:rPr>
        <w:rFonts w:ascii="Times New Roman" w:hAnsi="Times New Roman"/>
        <w:sz w:val="16"/>
        <w:szCs w:val="16"/>
      </w:rPr>
      <w:t xml:space="preserve"> </w:t>
    </w:r>
    <w:proofErr w:type="spellStart"/>
    <w:r w:rsidR="003A3FCC">
      <w:rPr>
        <w:rFonts w:ascii="Times New Roman" w:hAnsi="Times New Roman"/>
        <w:sz w:val="16"/>
        <w:szCs w:val="16"/>
      </w:rPr>
      <w:t>XXXXXXXXXXXXXXXXXX</w:t>
    </w:r>
    <w:proofErr w:type="spellEnd"/>
    <w:r w:rsidR="003A3FCC">
      <w:rPr>
        <w:rFonts w:ascii="Times New Roman" w:hAnsi="Times New Roman"/>
        <w:sz w:val="16"/>
        <w:szCs w:val="16"/>
      </w:rPr>
      <w:t xml:space="preserve"> XXXXXXXXXXXXXXX</w:t>
    </w:r>
  </w:p>
  <w:p w:rsidR="00186CF6" w:rsidRPr="00186CF6" w:rsidRDefault="00186CF6" w:rsidP="00186CF6">
    <w:pPr>
      <w:pStyle w:val="SemEspaamento"/>
      <w:rPr>
        <w:rFonts w:ascii="Times New Roman" w:hAnsi="Times New Roman"/>
        <w:sz w:val="16"/>
        <w:szCs w:val="16"/>
      </w:rPr>
    </w:pPr>
    <w:proofErr w:type="gramStart"/>
    <w:r w:rsidRPr="00186CF6">
      <w:rPr>
        <w:rFonts w:ascii="Times New Roman" w:hAnsi="Times New Roman"/>
        <w:sz w:val="16"/>
        <w:szCs w:val="16"/>
        <w:vertAlign w:val="superscript"/>
      </w:rPr>
      <w:t>3</w:t>
    </w:r>
    <w:proofErr w:type="gramEnd"/>
    <w:r w:rsidRPr="00186CF6">
      <w:rPr>
        <w:rFonts w:ascii="Times New Roman" w:hAnsi="Times New Roman"/>
        <w:sz w:val="16"/>
        <w:szCs w:val="16"/>
      </w:rPr>
      <w:t xml:space="preserve"> </w:t>
    </w:r>
    <w:r w:rsidR="003A3FCC">
      <w:rPr>
        <w:rFonts w:ascii="Times New Roman" w:hAnsi="Times New Roman"/>
        <w:sz w:val="16"/>
        <w:szCs w:val="16"/>
      </w:rPr>
      <w:t>XXXXXXXXXXXXXXXXXX</w:t>
    </w:r>
  </w:p>
  <w:p w:rsidR="00186CF6" w:rsidRPr="00186CF6" w:rsidRDefault="00186CF6" w:rsidP="00186CF6">
    <w:pPr>
      <w:pStyle w:val="SemEspaamento"/>
      <w:rPr>
        <w:rFonts w:ascii="Times New Roman" w:hAnsi="Times New Roman"/>
        <w:sz w:val="16"/>
        <w:szCs w:val="16"/>
      </w:rPr>
    </w:pPr>
    <w:proofErr w:type="gramStart"/>
    <w:r w:rsidRPr="00186CF6">
      <w:rPr>
        <w:rFonts w:ascii="Times New Roman" w:hAnsi="Times New Roman"/>
        <w:sz w:val="16"/>
        <w:szCs w:val="16"/>
        <w:vertAlign w:val="superscript"/>
      </w:rPr>
      <w:t>4</w:t>
    </w:r>
    <w:proofErr w:type="gramEnd"/>
    <w:r w:rsidRPr="00186CF6">
      <w:rPr>
        <w:rFonts w:ascii="Times New Roman" w:hAnsi="Times New Roman"/>
        <w:sz w:val="16"/>
        <w:szCs w:val="16"/>
        <w:vertAlign w:val="superscript"/>
      </w:rPr>
      <w:t xml:space="preserve"> </w:t>
    </w:r>
    <w:r w:rsidR="003A3FCC">
      <w:rPr>
        <w:rFonts w:ascii="Times New Roman" w:hAnsi="Times New Roman"/>
        <w:sz w:val="16"/>
        <w:szCs w:val="16"/>
      </w:rPr>
      <w:t>XXXXXXXXXXXXXXXXXX</w:t>
    </w:r>
  </w:p>
  <w:p w:rsidR="003B7FBB" w:rsidRDefault="00186CF6" w:rsidP="003A3FCC">
    <w:pPr>
      <w:pStyle w:val="SemEspaamento"/>
    </w:pPr>
    <w:proofErr w:type="gramStart"/>
    <w:r w:rsidRPr="00186CF6">
      <w:rPr>
        <w:rFonts w:ascii="Times New Roman" w:hAnsi="Times New Roman"/>
        <w:sz w:val="16"/>
        <w:szCs w:val="16"/>
        <w:vertAlign w:val="superscript"/>
      </w:rPr>
      <w:t>5</w:t>
    </w:r>
    <w:proofErr w:type="gramEnd"/>
    <w:r w:rsidR="003A3FCC">
      <w:rPr>
        <w:rFonts w:ascii="Times New Roman" w:hAnsi="Times New Roman"/>
        <w:sz w:val="16"/>
        <w:szCs w:val="16"/>
      </w:rPr>
      <w:t xml:space="preserve"> </w:t>
    </w:r>
    <w:r w:rsidR="003A3FCC">
      <w:rPr>
        <w:rFonts w:ascii="Times New Roman" w:hAnsi="Times New Roman"/>
        <w:sz w:val="16"/>
        <w:szCs w:val="16"/>
      </w:rPr>
      <w:t>XXXXXXXXXXXXXXXXXX</w:t>
    </w:r>
    <w:r w:rsidR="003A3FCC" w:rsidRPr="003A3FCC">
      <w:rPr>
        <w:rFonts w:ascii="Times New Roman" w:hAnsi="Times New Roman"/>
        <w:sz w:val="16"/>
        <w:szCs w:val="16"/>
      </w:rPr>
      <w:t xml:space="preserve"> </w:t>
    </w:r>
    <w:proofErr w:type="spellStart"/>
    <w:r w:rsidR="003A3FCC">
      <w:rPr>
        <w:rFonts w:ascii="Times New Roman" w:hAnsi="Times New Roman"/>
        <w:sz w:val="16"/>
        <w:szCs w:val="16"/>
      </w:rPr>
      <w:t>XXXXXXXXXXXXXXXXXX</w:t>
    </w:r>
    <w:proofErr w:type="spellEnd"/>
    <w:r w:rsidR="003A3FCC" w:rsidRPr="002D3697">
      <w:rPr>
        <w:noProof/>
        <w:lang w:eastAsia="pt-BR"/>
      </w:rPr>
      <w:t xml:space="preserve"> </w:t>
    </w:r>
    <w:proofErr w:type="spellStart"/>
    <w:r w:rsidR="003A3FCC">
      <w:rPr>
        <w:rFonts w:ascii="Times New Roman" w:hAnsi="Times New Roman"/>
        <w:sz w:val="16"/>
        <w:szCs w:val="16"/>
      </w:rPr>
      <w:t>XXXXXXXXXXXXXXXXXX</w:t>
    </w:r>
    <w:proofErr w:type="spellEnd"/>
    <w:r w:rsidR="003A3FCC" w:rsidRPr="002D3697">
      <w:rPr>
        <w:noProof/>
        <w:lang w:eastAsia="pt-BR"/>
      </w:rPr>
      <w:t xml:space="preserve"> </w:t>
    </w:r>
    <w:proofErr w:type="spellStart"/>
    <w:r w:rsidR="003A3FCC">
      <w:rPr>
        <w:rFonts w:ascii="Times New Roman" w:hAnsi="Times New Roman"/>
        <w:sz w:val="16"/>
        <w:szCs w:val="16"/>
      </w:rPr>
      <w:t>XXXXXXXXXXXXXXXXXX</w:t>
    </w:r>
    <w:proofErr w:type="spellEnd"/>
    <w:r w:rsidR="003A3FCC" w:rsidRPr="002D3697">
      <w:rPr>
        <w:noProof/>
        <w:lang w:eastAsia="pt-BR"/>
      </w:rPr>
      <w:t xml:space="preserve"> </w:t>
    </w:r>
    <w:proofErr w:type="spellStart"/>
    <w:r w:rsidR="003A3FCC">
      <w:rPr>
        <w:rFonts w:ascii="Times New Roman" w:hAnsi="Times New Roman"/>
        <w:sz w:val="16"/>
        <w:szCs w:val="16"/>
      </w:rPr>
      <w:t>XXXXXXXXXXXXXXXXXX</w:t>
    </w:r>
    <w:proofErr w:type="spellEnd"/>
    <w:r w:rsidR="003A3FCC" w:rsidRPr="002D3697">
      <w:rPr>
        <w:noProof/>
        <w:lang w:eastAsia="pt-BR"/>
      </w:rPr>
      <w:t xml:space="preserve"> </w:t>
    </w:r>
    <w:proofErr w:type="spellStart"/>
    <w:r w:rsidR="003A3FCC">
      <w:rPr>
        <w:rFonts w:ascii="Times New Roman" w:hAnsi="Times New Roman"/>
        <w:sz w:val="16"/>
        <w:szCs w:val="16"/>
      </w:rPr>
      <w:t>XXXXXXXXXXXXXXXXXX</w:t>
    </w:r>
    <w:proofErr w:type="spellEnd"/>
    <w:r w:rsidR="003A3FCC" w:rsidRPr="002D3697">
      <w:rPr>
        <w:noProof/>
        <w:lang w:eastAsia="pt-BR"/>
      </w:rPr>
      <w:t xml:space="preserve"> </w:t>
    </w:r>
    <w:proofErr w:type="spellStart"/>
    <w:r w:rsidR="003A3FCC">
      <w:rPr>
        <w:rFonts w:ascii="Times New Roman" w:hAnsi="Times New Roman"/>
        <w:sz w:val="16"/>
        <w:szCs w:val="16"/>
      </w:rPr>
      <w:t>XXXXXXXXXXXXXXXXXX</w:t>
    </w:r>
    <w:proofErr w:type="spellEnd"/>
    <w:r w:rsidR="003A3FCC" w:rsidRPr="002D3697">
      <w:rPr>
        <w:noProof/>
        <w:lang w:eastAsia="pt-BR"/>
      </w:rPr>
      <w:t xml:space="preserve"> </w:t>
    </w:r>
    <w:proofErr w:type="spellStart"/>
    <w:r w:rsidR="003A3FCC">
      <w:rPr>
        <w:rFonts w:ascii="Times New Roman" w:hAnsi="Times New Roman"/>
        <w:sz w:val="16"/>
        <w:szCs w:val="16"/>
      </w:rPr>
      <w:t>XXXXXXXXXXXXXXXXXX</w:t>
    </w:r>
    <w:proofErr w:type="spellEnd"/>
    <w:r w:rsidR="003A3FCC" w:rsidRPr="002D3697">
      <w:rPr>
        <w:noProof/>
        <w:lang w:eastAsia="pt-BR"/>
      </w:rPr>
      <w:t xml:space="preserve"> </w:t>
    </w:r>
    <w:proofErr w:type="spellStart"/>
    <w:r w:rsidR="003A3FCC">
      <w:rPr>
        <w:rFonts w:ascii="Times New Roman" w:hAnsi="Times New Roman"/>
        <w:sz w:val="16"/>
        <w:szCs w:val="16"/>
      </w:rPr>
      <w:t>XXXXXXXXXXXXXXXXXX</w:t>
    </w:r>
    <w:proofErr w:type="spellEnd"/>
    <w:r w:rsidR="003A3FCC" w:rsidRPr="002D3697">
      <w:rPr>
        <w:noProof/>
        <w:lang w:eastAsia="pt-BR"/>
      </w:rPr>
      <w:t xml:space="preserve"> </w:t>
    </w:r>
    <w:proofErr w:type="spellStart"/>
    <w:r w:rsidR="003A3FCC">
      <w:rPr>
        <w:rFonts w:ascii="Times New Roman" w:hAnsi="Times New Roman"/>
        <w:sz w:val="16"/>
        <w:szCs w:val="16"/>
      </w:rPr>
      <w:t>XXXXXXXXXXXXXXXXXX</w:t>
    </w:r>
    <w:proofErr w:type="spellEnd"/>
    <w:r w:rsidR="003A3FCC" w:rsidRPr="002D3697">
      <w:rPr>
        <w:noProof/>
        <w:lang w:eastAsia="pt-BR"/>
      </w:rPr>
      <w:t xml:space="preserve"> </w:t>
    </w:r>
    <w:proofErr w:type="spellStart"/>
    <w:r w:rsidR="003A3FCC">
      <w:rPr>
        <w:rFonts w:ascii="Times New Roman" w:hAnsi="Times New Roman"/>
        <w:sz w:val="16"/>
        <w:szCs w:val="16"/>
      </w:rPr>
      <w:t>XXXXXXXXXXXXXXXXXX</w:t>
    </w:r>
    <w:proofErr w:type="spellEnd"/>
    <w:r w:rsidR="003A3FCC" w:rsidRPr="002D3697">
      <w:rPr>
        <w:noProof/>
        <w:lang w:eastAsia="pt-BR"/>
      </w:rPr>
      <w:t xml:space="preserve"> </w:t>
    </w:r>
    <w:proofErr w:type="spellStart"/>
    <w:r w:rsidR="003A3FCC">
      <w:rPr>
        <w:rFonts w:ascii="Times New Roman" w:hAnsi="Times New Roman"/>
        <w:sz w:val="16"/>
        <w:szCs w:val="16"/>
      </w:rPr>
      <w:t>XXXXXXXXXXXXXXXXXX</w:t>
    </w:r>
    <w:proofErr w:type="spellEnd"/>
    <w:r w:rsidR="003A3FCC" w:rsidRPr="002D3697">
      <w:rPr>
        <w:noProof/>
        <w:lang w:eastAsia="pt-BR"/>
      </w:rPr>
      <w:t xml:space="preserve"> </w:t>
    </w:r>
    <w:r w:rsidR="00D56962" w:rsidRPr="002D3697">
      <w:rPr>
        <w:noProof/>
        <w:lang w:eastAsia="pt-BR"/>
      </w:rPr>
      <mc:AlternateContent>
        <mc:Choice Requires="wps">
          <w:drawing>
            <wp:anchor distT="0" distB="0" distL="114300" distR="114300" simplePos="0" relativeHeight="251671552" behindDoc="0" locked="0" layoutInCell="1" allowOverlap="1" wp14:anchorId="2BD48B1E" wp14:editId="13E9CAB4">
              <wp:simplePos x="0" y="0"/>
              <wp:positionH relativeFrom="column">
                <wp:posOffset>1018540</wp:posOffset>
              </wp:positionH>
              <wp:positionV relativeFrom="paragraph">
                <wp:posOffset>210185</wp:posOffset>
              </wp:positionV>
              <wp:extent cx="4404995" cy="261620"/>
              <wp:effectExtent l="0" t="0" r="0" b="508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261620"/>
                      </a:xfrm>
                      <a:prstGeom prst="rect">
                        <a:avLst/>
                      </a:prstGeom>
                      <a:noFill/>
                      <a:ln w="9525">
                        <a:noFill/>
                        <a:miter lim="800000"/>
                        <a:headEnd/>
                        <a:tailEnd/>
                      </a:ln>
                    </wps:spPr>
                    <wps:txbx>
                      <w:txbxContent>
                        <w:p w:rsidR="002D3697" w:rsidRPr="004A4A94" w:rsidRDefault="00194994" w:rsidP="002D3697">
                          <w:pPr>
                            <w:rPr>
                              <w:color w:val="FFFFFF" w:themeColor="background1"/>
                              <w:sz w:val="20"/>
                              <w:szCs w:val="20"/>
                            </w:rPr>
                          </w:pPr>
                          <w:r w:rsidRPr="00194994">
                            <w:rPr>
                              <w:rFonts w:ascii="Times New Roman" w:hAnsi="Times New Roman"/>
                              <w:b/>
                              <w:i/>
                              <w:color w:val="FFFFFF" w:themeColor="background1"/>
                              <w:sz w:val="20"/>
                              <w:szCs w:val="20"/>
                            </w:rPr>
                            <w:t>Revista Verde</w:t>
                          </w:r>
                          <w:r w:rsidR="002D3697" w:rsidRPr="004A4A94">
                            <w:rPr>
                              <w:rFonts w:ascii="Times New Roman" w:hAnsi="Times New Roman"/>
                              <w:b/>
                              <w:i/>
                              <w:color w:val="FFFFFF" w:themeColor="background1"/>
                              <w:sz w:val="20"/>
                              <w:szCs w:val="20"/>
                            </w:rPr>
                            <w:t xml:space="preserve"> (Pombal - </w:t>
                          </w:r>
                          <w:r w:rsidR="002D3697">
                            <w:rPr>
                              <w:rFonts w:ascii="Times New Roman" w:hAnsi="Times New Roman"/>
                              <w:b/>
                              <w:i/>
                              <w:color w:val="FFFFFF" w:themeColor="background1"/>
                              <w:sz w:val="20"/>
                              <w:szCs w:val="20"/>
                            </w:rPr>
                            <w:t>P</w:t>
                          </w:r>
                          <w:r w:rsidR="0035297A">
                            <w:rPr>
                              <w:rFonts w:ascii="Times New Roman" w:hAnsi="Times New Roman"/>
                              <w:b/>
                              <w:i/>
                              <w:color w:val="FFFFFF" w:themeColor="background1"/>
                              <w:sz w:val="20"/>
                              <w:szCs w:val="20"/>
                            </w:rPr>
                            <w:t xml:space="preserve">B - Brasil) </w:t>
                          </w:r>
                          <w:r w:rsidR="006C6970" w:rsidRPr="006C6970">
                            <w:rPr>
                              <w:rFonts w:ascii="Times New Roman" w:hAnsi="Times New Roman"/>
                              <w:b/>
                              <w:color w:val="FFFFFF" w:themeColor="background1"/>
                              <w:sz w:val="20"/>
                              <w:szCs w:val="20"/>
                            </w:rPr>
                            <w:t xml:space="preserve">v. X, </w:t>
                          </w:r>
                          <w:proofErr w:type="spellStart"/>
                          <w:proofErr w:type="gramStart"/>
                          <w:r w:rsidR="006C6970" w:rsidRPr="006C6970">
                            <w:rPr>
                              <w:rFonts w:ascii="Times New Roman" w:hAnsi="Times New Roman"/>
                              <w:b/>
                              <w:color w:val="FFFFFF" w:themeColor="background1"/>
                              <w:sz w:val="20"/>
                              <w:szCs w:val="20"/>
                            </w:rPr>
                            <w:t>n.X</w:t>
                          </w:r>
                          <w:proofErr w:type="spellEnd"/>
                          <w:proofErr w:type="gramEnd"/>
                          <w:r w:rsidR="006C6970" w:rsidRPr="006C6970">
                            <w:rPr>
                              <w:rFonts w:ascii="Times New Roman" w:hAnsi="Times New Roman"/>
                              <w:b/>
                              <w:color w:val="FFFFFF" w:themeColor="background1"/>
                              <w:sz w:val="20"/>
                              <w:szCs w:val="20"/>
                            </w:rPr>
                            <w:t xml:space="preserve">, </w:t>
                          </w:r>
                          <w:proofErr w:type="spellStart"/>
                          <w:r w:rsidR="006C6970" w:rsidRPr="006C6970">
                            <w:rPr>
                              <w:rFonts w:ascii="Times New Roman" w:hAnsi="Times New Roman"/>
                              <w:b/>
                              <w:color w:val="FFFFFF" w:themeColor="background1"/>
                              <w:sz w:val="20"/>
                              <w:szCs w:val="20"/>
                            </w:rPr>
                            <w:t>p.XXX</w:t>
                          </w:r>
                          <w:proofErr w:type="spellEnd"/>
                          <w:r w:rsidR="006C6970"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80.2pt;margin-top:16.55pt;width:346.85pt;height: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" filled="f" stroked="f">
              <v:textbox>
                <w:txbxContent>
                  <w:p w:rsidR="002D3697" w:rsidRPr="004A4A94" w:rsidRDefault="00194994" w:rsidP="002D3697">
                    <w:pPr>
                      <w:rPr>
                        <w:color w:val="FFFFFF" w:themeColor="background1"/>
                        <w:sz w:val="20"/>
                        <w:szCs w:val="20"/>
                      </w:rPr>
                    </w:pPr>
                    <w:r w:rsidRPr="00194994">
                      <w:rPr>
                        <w:rFonts w:ascii="Times New Roman" w:hAnsi="Times New Roman"/>
                        <w:b/>
                        <w:i/>
                        <w:color w:val="FFFFFF" w:themeColor="background1"/>
                        <w:sz w:val="20"/>
                        <w:szCs w:val="20"/>
                      </w:rPr>
                      <w:t>Revista Verde</w:t>
                    </w:r>
                    <w:r w:rsidR="002D3697" w:rsidRPr="004A4A94">
                      <w:rPr>
                        <w:rFonts w:ascii="Times New Roman" w:hAnsi="Times New Roman"/>
                        <w:b/>
                        <w:i/>
                        <w:color w:val="FFFFFF" w:themeColor="background1"/>
                        <w:sz w:val="20"/>
                        <w:szCs w:val="20"/>
                      </w:rPr>
                      <w:t xml:space="preserve"> (Pombal - </w:t>
                    </w:r>
                    <w:r w:rsidR="002D3697">
                      <w:rPr>
                        <w:rFonts w:ascii="Times New Roman" w:hAnsi="Times New Roman"/>
                        <w:b/>
                        <w:i/>
                        <w:color w:val="FFFFFF" w:themeColor="background1"/>
                        <w:sz w:val="20"/>
                        <w:szCs w:val="20"/>
                      </w:rPr>
                      <w:t>P</w:t>
                    </w:r>
                    <w:r w:rsidR="0035297A">
                      <w:rPr>
                        <w:rFonts w:ascii="Times New Roman" w:hAnsi="Times New Roman"/>
                        <w:b/>
                        <w:i/>
                        <w:color w:val="FFFFFF" w:themeColor="background1"/>
                        <w:sz w:val="20"/>
                        <w:szCs w:val="20"/>
                      </w:rPr>
                      <w:t xml:space="preserve">B - Brasil) </w:t>
                    </w:r>
                    <w:r w:rsidR="006C6970" w:rsidRPr="006C6970">
                      <w:rPr>
                        <w:rFonts w:ascii="Times New Roman" w:hAnsi="Times New Roman"/>
                        <w:b/>
                        <w:color w:val="FFFFFF" w:themeColor="background1"/>
                        <w:sz w:val="20"/>
                        <w:szCs w:val="20"/>
                      </w:rPr>
                      <w:t xml:space="preserve">v. X, </w:t>
                    </w:r>
                    <w:proofErr w:type="spellStart"/>
                    <w:proofErr w:type="gramStart"/>
                    <w:r w:rsidR="006C6970" w:rsidRPr="006C6970">
                      <w:rPr>
                        <w:rFonts w:ascii="Times New Roman" w:hAnsi="Times New Roman"/>
                        <w:b/>
                        <w:color w:val="FFFFFF" w:themeColor="background1"/>
                        <w:sz w:val="20"/>
                        <w:szCs w:val="20"/>
                      </w:rPr>
                      <w:t>n.X</w:t>
                    </w:r>
                    <w:proofErr w:type="spellEnd"/>
                    <w:proofErr w:type="gramEnd"/>
                    <w:r w:rsidR="006C6970" w:rsidRPr="006C6970">
                      <w:rPr>
                        <w:rFonts w:ascii="Times New Roman" w:hAnsi="Times New Roman"/>
                        <w:b/>
                        <w:color w:val="FFFFFF" w:themeColor="background1"/>
                        <w:sz w:val="20"/>
                        <w:szCs w:val="20"/>
                      </w:rPr>
                      <w:t xml:space="preserve">, </w:t>
                    </w:r>
                    <w:proofErr w:type="spellStart"/>
                    <w:r w:rsidR="006C6970" w:rsidRPr="006C6970">
                      <w:rPr>
                        <w:rFonts w:ascii="Times New Roman" w:hAnsi="Times New Roman"/>
                        <w:b/>
                        <w:color w:val="FFFFFF" w:themeColor="background1"/>
                        <w:sz w:val="20"/>
                        <w:szCs w:val="20"/>
                      </w:rPr>
                      <w:t>p.XXX</w:t>
                    </w:r>
                    <w:proofErr w:type="spellEnd"/>
                    <w:r w:rsidR="006C6970" w:rsidRPr="006C6970">
                      <w:rPr>
                        <w:rFonts w:ascii="Times New Roman" w:hAnsi="Times New Roman"/>
                        <w:b/>
                        <w:color w:val="FFFFFF" w:themeColor="background1"/>
                        <w:sz w:val="20"/>
                        <w:szCs w:val="20"/>
                      </w:rPr>
                      <w:t xml:space="preserve"> - XXX, mês-mês, ANO</w:t>
                    </w:r>
                  </w:p>
                </w:txbxContent>
              </v:textbox>
            </v:shape>
          </w:pict>
        </mc:Fallback>
      </mc:AlternateContent>
    </w:r>
    <w:r w:rsidR="00D56962" w:rsidRPr="002D3697">
      <w:rPr>
        <w:noProof/>
        <w:lang w:eastAsia="pt-BR"/>
      </w:rPr>
      <mc:AlternateContent>
        <mc:Choice Requires="wps">
          <w:drawing>
            <wp:anchor distT="0" distB="0" distL="114300" distR="114300" simplePos="0" relativeHeight="251670528" behindDoc="0" locked="0" layoutInCell="1" allowOverlap="1" wp14:anchorId="0B1215D7" wp14:editId="4FDC804B">
              <wp:simplePos x="0" y="0"/>
              <wp:positionH relativeFrom="column">
                <wp:posOffset>3146425</wp:posOffset>
              </wp:positionH>
              <wp:positionV relativeFrom="paragraph">
                <wp:posOffset>-3669334</wp:posOffset>
              </wp:positionV>
              <wp:extent cx="269875" cy="7999095"/>
              <wp:effectExtent l="2540" t="0" r="0" b="0"/>
              <wp:wrapNone/>
              <wp:docPr id="11" name="Arredondar Retângulo no Mesmo Canto Lateral 11"/>
              <wp:cNvGraphicFramePr/>
              <a:graphic xmlns:a="http://schemas.openxmlformats.org/drawingml/2006/main">
                <a:graphicData uri="http://schemas.microsoft.com/office/word/2010/wordprocessingShape">
                  <wps:wsp>
                    <wps:cNvSpPr/>
                    <wps:spPr>
                      <a:xfrm rot="5400000">
                        <a:off x="0" y="0"/>
                        <a:ext cx="269875" cy="799909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11" o:spid="_x0000_s1026" style="position:absolute;margin-left:247.75pt;margin-top:-288.9pt;width:21.25pt;height:629.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799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" path="m44980,l224895,v24842,,44980,20138,44980,44980l269875,7999095r,l,7999095r,l,44980c,20138,20138,,44980,xe" fillcolor="#114b0d" stroked="f" strokeweight="2pt">
              <v:path arrowok="t" o:connecttype="custom" o:connectlocs="44980,0;224895,0;269875,44980;269875,7999095;269875,7999095;0,7999095;0,7999095;0,44980;44980,0" o:connectangles="0,0,0,0,0,0,0,0,0"/>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97A" w:rsidRDefault="00D56962">
    <w:pPr>
      <w:pStyle w:val="Rodap"/>
    </w:pPr>
    <w:r w:rsidRPr="0035297A">
      <w:rPr>
        <w:noProof/>
        <w:lang w:val="pt-BR" w:eastAsia="pt-BR"/>
      </w:rPr>
      <mc:AlternateContent>
        <mc:Choice Requires="wps">
          <w:drawing>
            <wp:anchor distT="0" distB="0" distL="114300" distR="114300" simplePos="0" relativeHeight="251674624" behindDoc="0" locked="0" layoutInCell="1" allowOverlap="1" wp14:anchorId="015DD1AB" wp14:editId="07414DB7">
              <wp:simplePos x="0" y="0"/>
              <wp:positionH relativeFrom="column">
                <wp:posOffset>-137160</wp:posOffset>
              </wp:positionH>
              <wp:positionV relativeFrom="paragraph">
                <wp:posOffset>181306</wp:posOffset>
              </wp:positionV>
              <wp:extent cx="4531995" cy="261620"/>
              <wp:effectExtent l="0" t="0" r="0" b="5080"/>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995" cy="261620"/>
                      </a:xfrm>
                      <a:prstGeom prst="rect">
                        <a:avLst/>
                      </a:prstGeom>
                      <a:noFill/>
                      <a:ln w="9525">
                        <a:noFill/>
                        <a:miter lim="800000"/>
                        <a:headEnd/>
                        <a:tailEnd/>
                      </a:ln>
                    </wps:spPr>
                    <wps:txbx>
                      <w:txbxContent>
                        <w:p w:rsidR="0035297A" w:rsidRPr="004A4A94" w:rsidRDefault="00194994" w:rsidP="0035297A">
                          <w:pPr>
                            <w:rPr>
                              <w:color w:val="FFFFFF" w:themeColor="background1"/>
                              <w:sz w:val="20"/>
                              <w:szCs w:val="20"/>
                            </w:rPr>
                          </w:pPr>
                          <w:r w:rsidRPr="00194994">
                            <w:rPr>
                              <w:rFonts w:ascii="Times New Roman" w:hAnsi="Times New Roman"/>
                              <w:b/>
                              <w:i/>
                              <w:color w:val="FFFFFF" w:themeColor="background1"/>
                              <w:sz w:val="20"/>
                              <w:szCs w:val="20"/>
                            </w:rPr>
                            <w:t>Revista Verde</w:t>
                          </w:r>
                          <w:r w:rsidR="0035297A" w:rsidRPr="004A4A94">
                            <w:rPr>
                              <w:rFonts w:ascii="Times New Roman" w:hAnsi="Times New Roman"/>
                              <w:b/>
                              <w:i/>
                              <w:color w:val="FFFFFF" w:themeColor="background1"/>
                              <w:sz w:val="20"/>
                              <w:szCs w:val="20"/>
                            </w:rPr>
                            <w:t xml:space="preserve"> (Pombal - </w:t>
                          </w:r>
                          <w:r w:rsidR="0035297A">
                            <w:rPr>
                              <w:rFonts w:ascii="Times New Roman" w:hAnsi="Times New Roman"/>
                              <w:b/>
                              <w:i/>
                              <w:color w:val="FFFFFF" w:themeColor="background1"/>
                              <w:sz w:val="20"/>
                              <w:szCs w:val="20"/>
                            </w:rPr>
                            <w:t xml:space="preserve">PB -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0.8pt;margin-top:14.3pt;width:356.85pt;height:2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" filled="f" stroked="f">
              <v:textbox>
                <w:txbxContent>
                  <w:p w:rsidR="0035297A" w:rsidRPr="004A4A94" w:rsidRDefault="00194994" w:rsidP="0035297A">
                    <w:pPr>
                      <w:rPr>
                        <w:color w:val="FFFFFF" w:themeColor="background1"/>
                        <w:sz w:val="20"/>
                        <w:szCs w:val="20"/>
                      </w:rPr>
                    </w:pPr>
                    <w:r w:rsidRPr="00194994">
                      <w:rPr>
                        <w:rFonts w:ascii="Times New Roman" w:hAnsi="Times New Roman"/>
                        <w:b/>
                        <w:i/>
                        <w:color w:val="FFFFFF" w:themeColor="background1"/>
                        <w:sz w:val="20"/>
                        <w:szCs w:val="20"/>
                      </w:rPr>
                      <w:t>Revista Verde</w:t>
                    </w:r>
                    <w:r w:rsidR="0035297A" w:rsidRPr="004A4A94">
                      <w:rPr>
                        <w:rFonts w:ascii="Times New Roman" w:hAnsi="Times New Roman"/>
                        <w:b/>
                        <w:i/>
                        <w:color w:val="FFFFFF" w:themeColor="background1"/>
                        <w:sz w:val="20"/>
                        <w:szCs w:val="20"/>
                      </w:rPr>
                      <w:t xml:space="preserve"> (Pombal - </w:t>
                    </w:r>
                    <w:r w:rsidR="0035297A">
                      <w:rPr>
                        <w:rFonts w:ascii="Times New Roman" w:hAnsi="Times New Roman"/>
                        <w:b/>
                        <w:i/>
                        <w:color w:val="FFFFFF" w:themeColor="background1"/>
                        <w:sz w:val="20"/>
                        <w:szCs w:val="20"/>
                      </w:rPr>
                      <w:t xml:space="preserve">PB -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v:textbox>
            </v:shape>
          </w:pict>
        </mc:Fallback>
      </mc:AlternateContent>
    </w:r>
    <w:r w:rsidRPr="0035297A">
      <w:rPr>
        <w:noProof/>
        <w:lang w:val="pt-BR" w:eastAsia="pt-BR"/>
      </w:rPr>
      <mc:AlternateContent>
        <mc:Choice Requires="wps">
          <w:drawing>
            <wp:anchor distT="0" distB="0" distL="114300" distR="114300" simplePos="0" relativeHeight="251673600" behindDoc="0" locked="0" layoutInCell="1" allowOverlap="1" wp14:anchorId="6F4F089F" wp14:editId="460AA85F">
              <wp:simplePos x="0" y="0"/>
              <wp:positionH relativeFrom="column">
                <wp:posOffset>1885315</wp:posOffset>
              </wp:positionH>
              <wp:positionV relativeFrom="paragraph">
                <wp:posOffset>-2430449</wp:posOffset>
              </wp:positionV>
              <wp:extent cx="269875" cy="5478145"/>
              <wp:effectExtent l="5715" t="0" r="2540" b="2540"/>
              <wp:wrapNone/>
              <wp:docPr id="17" name="Arredondar Retângulo no Mesmo Canto Lateral 17"/>
              <wp:cNvGraphicFramePr/>
              <a:graphic xmlns:a="http://schemas.openxmlformats.org/drawingml/2006/main">
                <a:graphicData uri="http://schemas.microsoft.com/office/word/2010/wordprocessingShape">
                  <wps:wsp>
                    <wps:cNvSpPr/>
                    <wps:spPr>
                      <a:xfrm rot="5400000">
                        <a:off x="0" y="0"/>
                        <a:ext cx="269875" cy="547814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17" o:spid="_x0000_s1026" style="position:absolute;margin-left:148.45pt;margin-top:-191.35pt;width:21.25pt;height:431.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16" w:rsidRDefault="00726816">
    <w:pPr>
      <w:pStyle w:val="Rodap"/>
    </w:pPr>
    <w:r w:rsidRPr="0035297A">
      <w:rPr>
        <w:noProof/>
        <w:lang w:val="pt-BR" w:eastAsia="pt-BR"/>
      </w:rPr>
      <mc:AlternateContent>
        <mc:Choice Requires="wps">
          <w:drawing>
            <wp:anchor distT="0" distB="0" distL="114300" distR="114300" simplePos="0" relativeHeight="251689984" behindDoc="0" locked="0" layoutInCell="1" allowOverlap="1" wp14:anchorId="75515B7D" wp14:editId="4D2FC1A8">
              <wp:simplePos x="0" y="0"/>
              <wp:positionH relativeFrom="column">
                <wp:posOffset>-137160</wp:posOffset>
              </wp:positionH>
              <wp:positionV relativeFrom="paragraph">
                <wp:posOffset>181306</wp:posOffset>
              </wp:positionV>
              <wp:extent cx="4531995" cy="261620"/>
              <wp:effectExtent l="0" t="0" r="0" b="5080"/>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995" cy="261620"/>
                      </a:xfrm>
                      <a:prstGeom prst="rect">
                        <a:avLst/>
                      </a:prstGeom>
                      <a:noFill/>
                      <a:ln w="9525">
                        <a:noFill/>
                        <a:miter lim="800000"/>
                        <a:headEnd/>
                        <a:tailEnd/>
                      </a:ln>
                    </wps:spPr>
                    <wps:txbx>
                      <w:txbxContent>
                        <w:p w:rsidR="00726816" w:rsidRPr="004A4A94" w:rsidRDefault="00726816" w:rsidP="0035297A">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0.8pt;margin-top:14.3pt;width:356.85pt;height:2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" filled="f" stroked="f">
              <v:textbox>
                <w:txbxContent>
                  <w:p w:rsidR="00726816" w:rsidRPr="004A4A94" w:rsidRDefault="00726816" w:rsidP="0035297A">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v:textbox>
            </v:shape>
          </w:pict>
        </mc:Fallback>
      </mc:AlternateContent>
    </w:r>
    <w:r w:rsidRPr="0035297A">
      <w:rPr>
        <w:noProof/>
        <w:lang w:val="pt-BR" w:eastAsia="pt-BR"/>
      </w:rPr>
      <mc:AlternateContent>
        <mc:Choice Requires="wps">
          <w:drawing>
            <wp:anchor distT="0" distB="0" distL="114300" distR="114300" simplePos="0" relativeHeight="251688960" behindDoc="0" locked="0" layoutInCell="1" allowOverlap="1" wp14:anchorId="3C253A33" wp14:editId="7B368D24">
              <wp:simplePos x="0" y="0"/>
              <wp:positionH relativeFrom="column">
                <wp:posOffset>1885315</wp:posOffset>
              </wp:positionH>
              <wp:positionV relativeFrom="paragraph">
                <wp:posOffset>-2430449</wp:posOffset>
              </wp:positionV>
              <wp:extent cx="269875" cy="5478145"/>
              <wp:effectExtent l="5715" t="0" r="2540" b="2540"/>
              <wp:wrapNone/>
              <wp:docPr id="16" name="Arredondar Retângulo no Mesmo Canto Lateral 16"/>
              <wp:cNvGraphicFramePr/>
              <a:graphic xmlns:a="http://schemas.openxmlformats.org/drawingml/2006/main">
                <a:graphicData uri="http://schemas.microsoft.com/office/word/2010/wordprocessingShape">
                  <wps:wsp>
                    <wps:cNvSpPr/>
                    <wps:spPr>
                      <a:xfrm rot="5400000">
                        <a:off x="0" y="0"/>
                        <a:ext cx="269875" cy="5478145"/>
                      </a:xfrm>
                      <a:prstGeom prst="round2SameRect">
                        <a:avLst/>
                      </a:prstGeom>
                      <a:solidFill>
                        <a:srgbClr val="114B0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16" o:spid="_x0000_s1026" style="position:absolute;margin-left:148.45pt;margin-top:-191.35pt;width:21.25pt;height:431.3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4E" w:rsidRDefault="0024264E">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4E" w:rsidRPr="00C740E3" w:rsidRDefault="0024264E">
    <w:pPr>
      <w:pStyle w:val="Rodap"/>
      <w:rPr>
        <w:lang w:val="pt-B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8C" w:rsidRDefault="00B72C8C">
    <w:pPr>
      <w:pStyle w:val="Rodap"/>
    </w:pPr>
    <w:r w:rsidRPr="0035297A">
      <w:rPr>
        <w:noProof/>
        <w:lang w:val="pt-BR" w:eastAsia="pt-BR"/>
      </w:rPr>
      <mc:AlternateContent>
        <mc:Choice Requires="wps">
          <w:drawing>
            <wp:anchor distT="0" distB="0" distL="114300" distR="114300" simplePos="0" relativeHeight="251694080" behindDoc="0" locked="0" layoutInCell="1" allowOverlap="1" wp14:anchorId="0989FFCF" wp14:editId="0E275EFA">
              <wp:simplePos x="0" y="0"/>
              <wp:positionH relativeFrom="column">
                <wp:posOffset>-137160</wp:posOffset>
              </wp:positionH>
              <wp:positionV relativeFrom="paragraph">
                <wp:posOffset>181306</wp:posOffset>
              </wp:positionV>
              <wp:extent cx="4531995" cy="261620"/>
              <wp:effectExtent l="0" t="0" r="0" b="5080"/>
              <wp:wrapNone/>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995" cy="261620"/>
                      </a:xfrm>
                      <a:prstGeom prst="rect">
                        <a:avLst/>
                      </a:prstGeom>
                      <a:noFill/>
                      <a:ln w="9525">
                        <a:noFill/>
                        <a:miter lim="800000"/>
                        <a:headEnd/>
                        <a:tailEnd/>
                      </a:ln>
                    </wps:spPr>
                    <wps:txbx>
                      <w:txbxContent>
                        <w:p w:rsidR="00B72C8C" w:rsidRPr="004A4A94" w:rsidRDefault="00B72C8C" w:rsidP="0035297A">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10.8pt;margin-top:14.3pt;width:356.85pt;height:2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" filled="f" stroked="f">
              <v:textbox>
                <w:txbxContent>
                  <w:p w:rsidR="00B72C8C" w:rsidRPr="004A4A94" w:rsidRDefault="00B72C8C" w:rsidP="0035297A">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v:textbox>
            </v:shape>
          </w:pict>
        </mc:Fallback>
      </mc:AlternateContent>
    </w:r>
    <w:r w:rsidRPr="0035297A">
      <w:rPr>
        <w:noProof/>
        <w:lang w:val="pt-BR" w:eastAsia="pt-BR"/>
      </w:rPr>
      <mc:AlternateContent>
        <mc:Choice Requires="wps">
          <w:drawing>
            <wp:anchor distT="0" distB="0" distL="114300" distR="114300" simplePos="0" relativeHeight="251693056" behindDoc="0" locked="0" layoutInCell="1" allowOverlap="1" wp14:anchorId="177347D5" wp14:editId="3C9773E5">
              <wp:simplePos x="0" y="0"/>
              <wp:positionH relativeFrom="column">
                <wp:posOffset>1885315</wp:posOffset>
              </wp:positionH>
              <wp:positionV relativeFrom="paragraph">
                <wp:posOffset>-2430449</wp:posOffset>
              </wp:positionV>
              <wp:extent cx="269875" cy="5478145"/>
              <wp:effectExtent l="5715" t="0" r="2540" b="2540"/>
              <wp:wrapNone/>
              <wp:docPr id="24" name="Arredondar Retângulo no Mesmo Canto Lateral 24"/>
              <wp:cNvGraphicFramePr/>
              <a:graphic xmlns:a="http://schemas.openxmlformats.org/drawingml/2006/main">
                <a:graphicData uri="http://schemas.microsoft.com/office/word/2010/wordprocessingShape">
                  <wps:wsp>
                    <wps:cNvSpPr/>
                    <wps:spPr>
                      <a:xfrm rot="5400000">
                        <a:off x="0" y="0"/>
                        <a:ext cx="269875" cy="547814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24" o:spid="_x0000_s1026" style="position:absolute;margin-left:148.45pt;margin-top:-191.35pt;width:21.25pt;height:431.3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2C" w:rsidRDefault="00AD2E2C" w:rsidP="004A4A94">
      <w:pPr>
        <w:spacing w:after="0" w:line="240" w:lineRule="auto"/>
      </w:pPr>
      <w:r>
        <w:separator/>
      </w:r>
    </w:p>
  </w:footnote>
  <w:footnote w:type="continuationSeparator" w:id="0">
    <w:p w:rsidR="00AD2E2C" w:rsidRDefault="00AD2E2C" w:rsidP="004A4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994" w:rsidRPr="00537E78" w:rsidRDefault="00483234" w:rsidP="00483234">
    <w:pPr>
      <w:pStyle w:val="Cabealho"/>
      <w:spacing w:after="120"/>
      <w:jc w:val="center"/>
      <w:rPr>
        <w:color w:val="114B0D"/>
      </w:rPr>
    </w:pPr>
    <w:r w:rsidRPr="00483234">
      <w:rPr>
        <w:rFonts w:ascii="Times New Roman" w:hAnsi="Times New Roman"/>
        <w:i/>
        <w:sz w:val="20"/>
        <w:szCs w:val="20"/>
      </w:rPr>
      <w:t xml:space="preserve">Alfredo Mendonça de Sousa, </w:t>
    </w:r>
    <w:proofErr w:type="gramStart"/>
    <w:r w:rsidRPr="00483234">
      <w:rPr>
        <w:rFonts w:ascii="Times New Roman" w:hAnsi="Times New Roman"/>
        <w:i/>
        <w:sz w:val="20"/>
        <w:szCs w:val="20"/>
      </w:rPr>
      <w:t>et</w:t>
    </w:r>
    <w:proofErr w:type="gramEnd"/>
    <w:r w:rsidRPr="00483234">
      <w:rPr>
        <w:rFonts w:ascii="Times New Roman" w:hAnsi="Times New Roman"/>
        <w:i/>
        <w:sz w:val="20"/>
        <w:szCs w:val="20"/>
      </w:rPr>
      <w:t xml:space="preserve"> al </w:t>
    </w:r>
    <w:r w:rsidR="00194994" w:rsidRPr="00537E78">
      <w:rPr>
        <w:color w:val="114B0D"/>
        <w:shd w:val="clear" w:color="auto" w:fill="FFFFFF"/>
      </w:rPr>
      <w:t>______________________________________________________________________________________</w:t>
    </w:r>
    <w:r w:rsidR="00FA3969">
      <w:rPr>
        <w:color w:val="114B0D"/>
        <w:shd w:val="clear" w:color="auto" w:fill="FFFFFF"/>
      </w:rPr>
      <w:t>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00" w:rsidRDefault="00E647B6" w:rsidP="00E94800">
    <w:pPr>
      <w:pStyle w:val="Cabealho"/>
      <w:jc w:val="center"/>
      <w:rPr>
        <w:rFonts w:ascii="Times New Roman" w:hAnsi="Times New Roman"/>
        <w:i/>
        <w:sz w:val="20"/>
        <w:szCs w:val="20"/>
      </w:rPr>
    </w:pPr>
    <w:r w:rsidRPr="00E647B6">
      <w:rPr>
        <w:rFonts w:ascii="Times New Roman" w:hAnsi="Times New Roman"/>
        <w:i/>
        <w:sz w:val="20"/>
        <w:szCs w:val="20"/>
      </w:rPr>
      <w:t xml:space="preserve">Comportamento dos preços de milho e feijão </w:t>
    </w:r>
    <w:proofErr w:type="spellStart"/>
    <w:r w:rsidRPr="00E647B6">
      <w:rPr>
        <w:rFonts w:ascii="Times New Roman" w:hAnsi="Times New Roman"/>
        <w:i/>
        <w:sz w:val="20"/>
        <w:szCs w:val="20"/>
      </w:rPr>
      <w:t>caupi</w:t>
    </w:r>
    <w:proofErr w:type="spellEnd"/>
    <w:r w:rsidRPr="00E647B6">
      <w:rPr>
        <w:rFonts w:ascii="Times New Roman" w:hAnsi="Times New Roman"/>
        <w:i/>
        <w:sz w:val="20"/>
        <w:szCs w:val="20"/>
      </w:rPr>
      <w:t xml:space="preserve"> no mercado do estado do Ceará</w:t>
    </w:r>
    <w:r w:rsidR="00E94800">
      <w:rPr>
        <w:noProof/>
        <w:lang w:eastAsia="pt-BR"/>
      </w:rPr>
      <mc:AlternateContent>
        <mc:Choice Requires="wps">
          <w:drawing>
            <wp:anchor distT="0" distB="0" distL="114300" distR="114300" simplePos="0" relativeHeight="251686912" behindDoc="0" locked="0" layoutInCell="1" allowOverlap="1" wp14:anchorId="60853137" wp14:editId="70BDE963">
              <wp:simplePos x="0" y="0"/>
              <wp:positionH relativeFrom="column">
                <wp:posOffset>3175</wp:posOffset>
              </wp:positionH>
              <wp:positionV relativeFrom="paragraph">
                <wp:posOffset>144780</wp:posOffset>
              </wp:positionV>
              <wp:extent cx="6475095" cy="0"/>
              <wp:effectExtent l="10160" t="13970" r="10795" b="5080"/>
              <wp:wrapNone/>
              <wp:docPr id="1"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5095" cy="0"/>
                      </a:xfrm>
                      <a:prstGeom prst="line">
                        <a:avLst/>
                      </a:prstGeom>
                      <a:noFill/>
                      <a:ln w="9525" cap="flat" cmpd="sng" algn="ctr">
                        <a:solidFill>
                          <a:srgbClr val="0D54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" strokecolor="#0d5408"/>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BB" w:rsidRPr="00537E78" w:rsidRDefault="00E94800" w:rsidP="00841703">
    <w:pPr>
      <w:pStyle w:val="SemEspaamento"/>
      <w:jc w:val="center"/>
      <w:rPr>
        <w:sz w:val="28"/>
        <w:szCs w:val="28"/>
      </w:rPr>
    </w:pPr>
    <w:r w:rsidRPr="00537E78">
      <w:rPr>
        <w:noProof/>
        <w:sz w:val="24"/>
        <w:szCs w:val="24"/>
        <w:lang w:eastAsia="pt-BR"/>
      </w:rPr>
      <w:drawing>
        <wp:anchor distT="0" distB="0" distL="114300" distR="114300" simplePos="0" relativeHeight="251676672" behindDoc="1" locked="0" layoutInCell="1" allowOverlap="1" wp14:anchorId="05A92524" wp14:editId="45029624">
          <wp:simplePos x="0" y="0"/>
          <wp:positionH relativeFrom="column">
            <wp:posOffset>177800</wp:posOffset>
          </wp:positionH>
          <wp:positionV relativeFrom="paragraph">
            <wp:posOffset>-257175</wp:posOffset>
          </wp:positionV>
          <wp:extent cx="906145" cy="905510"/>
          <wp:effectExtent l="0" t="0" r="8255" b="8890"/>
          <wp:wrapTight wrapText="bothSides">
            <wp:wrapPolygon edited="0">
              <wp:start x="19526" y="0"/>
              <wp:lineTo x="10898" y="2272"/>
              <wp:lineTo x="1816" y="5907"/>
              <wp:lineTo x="0" y="15905"/>
              <wp:lineTo x="454" y="21358"/>
              <wp:lineTo x="20889" y="21358"/>
              <wp:lineTo x="21343" y="19540"/>
              <wp:lineTo x="21343" y="14087"/>
              <wp:lineTo x="15893" y="8180"/>
              <wp:lineTo x="21343" y="3181"/>
              <wp:lineTo x="21343" y="0"/>
              <wp:lineTo x="19526"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go verde.png"/>
                  <pic:cNvPicPr/>
                </pic:nvPicPr>
                <pic:blipFill rotWithShape="1">
                  <a:blip r:embed="rId1">
                    <a:extLst>
                      <a:ext uri="{28A0092B-C50C-407E-A947-70E740481C1C}">
                        <a14:useLocalDpi xmlns:a14="http://schemas.microsoft.com/office/drawing/2010/main" val="0"/>
                      </a:ext>
                    </a:extLst>
                  </a:blip>
                  <a:srcRect r="4580"/>
                  <a:stretch/>
                </pic:blipFill>
                <pic:spPr bwMode="auto">
                  <a:xfrm>
                    <a:off x="0" y="0"/>
                    <a:ext cx="906145"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lang w:eastAsia="pt-BR"/>
      </w:rPr>
      <mc:AlternateContent>
        <mc:Choice Requires="wps">
          <w:drawing>
            <wp:anchor distT="0" distB="0" distL="114300" distR="114300" simplePos="0" relativeHeight="251682816" behindDoc="0" locked="0" layoutInCell="1" allowOverlap="1" wp14:anchorId="0F46C889" wp14:editId="2987E100">
              <wp:simplePos x="0" y="0"/>
              <wp:positionH relativeFrom="column">
                <wp:posOffset>1123646</wp:posOffset>
              </wp:positionH>
              <wp:positionV relativeFrom="paragraph">
                <wp:posOffset>-134620</wp:posOffset>
              </wp:positionV>
              <wp:extent cx="4229735" cy="779145"/>
              <wp:effectExtent l="0" t="0" r="0" b="1905"/>
              <wp:wrapNone/>
              <wp:docPr id="21" name="Caixa de texto 21"/>
              <wp:cNvGraphicFramePr/>
              <a:graphic xmlns:a="http://schemas.openxmlformats.org/drawingml/2006/main">
                <a:graphicData uri="http://schemas.microsoft.com/office/word/2010/wordprocessingShape">
                  <wps:wsp>
                    <wps:cNvSpPr txBox="1"/>
                    <wps:spPr>
                      <a:xfrm>
                        <a:off x="0" y="0"/>
                        <a:ext cx="4229735" cy="779145"/>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841703" w:rsidRPr="00537E78" w:rsidRDefault="00841703" w:rsidP="00841703">
                          <w:pPr>
                            <w:pStyle w:val="SemEspaamento"/>
                            <w:jc w:val="center"/>
                            <w:rPr>
                              <w:rFonts w:ascii="Times New Roman" w:hAnsi="Times New Roman"/>
                              <w:b/>
                              <w:sz w:val="24"/>
                              <w:szCs w:val="24"/>
                            </w:rPr>
                          </w:pPr>
                          <w:r>
                            <w:rPr>
                              <w:rFonts w:ascii="Times New Roman" w:hAnsi="Times New Roman"/>
                              <w:b/>
                              <w:sz w:val="24"/>
                              <w:szCs w:val="24"/>
                            </w:rPr>
                            <w:t>R</w:t>
                          </w:r>
                          <w:r w:rsidRPr="00537E78">
                            <w:rPr>
                              <w:rFonts w:ascii="Times New Roman" w:hAnsi="Times New Roman"/>
                              <w:b/>
                              <w:sz w:val="24"/>
                              <w:szCs w:val="24"/>
                            </w:rPr>
                            <w:t>evista Verde de Agroecologia e Desenvolvimento Sustentável</w:t>
                          </w:r>
                        </w:p>
                        <w:p w:rsidR="00E94800" w:rsidRPr="00E94800" w:rsidRDefault="00AD2E2C" w:rsidP="00841703">
                          <w:pPr>
                            <w:pStyle w:val="SemEspaamento"/>
                            <w:jc w:val="center"/>
                            <w:rPr>
                              <w:rFonts w:ascii="Times New Roman" w:eastAsiaTheme="minorHAnsi" w:hAnsi="Times New Roman"/>
                              <w:i/>
                              <w:sz w:val="20"/>
                            </w:rPr>
                          </w:pPr>
                          <w:hyperlink r:id="rId2" w:history="1">
                            <w:r w:rsidR="00E94800" w:rsidRPr="00E94800">
                              <w:rPr>
                                <w:rStyle w:val="Hyperlink"/>
                                <w:rFonts w:ascii="Times New Roman" w:eastAsiaTheme="minorHAnsi" w:hAnsi="Times New Roman"/>
                                <w:i/>
                                <w:color w:val="auto"/>
                                <w:sz w:val="20"/>
                                <w:u w:val="none"/>
                              </w:rPr>
                              <w:t>http://www.gvaa.com.br/revista/index.php/RVADS</w:t>
                            </w:r>
                          </w:hyperlink>
                        </w:p>
                        <w:p w:rsidR="00841703" w:rsidRPr="00537E78" w:rsidRDefault="00841703" w:rsidP="00841703">
                          <w:pPr>
                            <w:pStyle w:val="SemEspaamento"/>
                            <w:jc w:val="center"/>
                            <w:rPr>
                              <w:sz w:val="28"/>
                              <w:szCs w:val="28"/>
                            </w:rPr>
                          </w:pPr>
                          <w:r w:rsidRPr="00537E78">
                            <w:rPr>
                              <w:rFonts w:ascii="Times New Roman" w:hAnsi="Times New Roman"/>
                              <w:b/>
                              <w:sz w:val="28"/>
                              <w:szCs w:val="28"/>
                            </w:rPr>
                            <w:t>ARTIGO CIENTÍFICO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1" o:spid="_x0000_s1028" type="#_x0000_t202" style="position:absolute;left:0;text-align:left;margin-left:88.5pt;margin-top:-10.6pt;width:333.05pt;height:6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" fillcolor="white [3201]" stroked="f">
              <v:textbox>
                <w:txbxContent>
                  <w:p w:rsidR="00841703" w:rsidRPr="00537E78" w:rsidRDefault="00841703" w:rsidP="00841703">
                    <w:pPr>
                      <w:pStyle w:val="SemEspaamento"/>
                      <w:jc w:val="center"/>
                      <w:rPr>
                        <w:rFonts w:ascii="Times New Roman" w:hAnsi="Times New Roman"/>
                        <w:b/>
                        <w:sz w:val="24"/>
                        <w:szCs w:val="24"/>
                      </w:rPr>
                    </w:pPr>
                    <w:r>
                      <w:rPr>
                        <w:rFonts w:ascii="Times New Roman" w:hAnsi="Times New Roman"/>
                        <w:b/>
                        <w:sz w:val="24"/>
                        <w:szCs w:val="24"/>
                      </w:rPr>
                      <w:t>R</w:t>
                    </w:r>
                    <w:r w:rsidRPr="00537E78">
                      <w:rPr>
                        <w:rFonts w:ascii="Times New Roman" w:hAnsi="Times New Roman"/>
                        <w:b/>
                        <w:sz w:val="24"/>
                        <w:szCs w:val="24"/>
                      </w:rPr>
                      <w:t>evista Verde de Agroecologia e Desenvolvimento Sustentável</w:t>
                    </w:r>
                  </w:p>
                  <w:p w:rsidR="00E94800" w:rsidRPr="00E94800" w:rsidRDefault="00F7091A" w:rsidP="00841703">
                    <w:pPr>
                      <w:pStyle w:val="SemEspaamento"/>
                      <w:jc w:val="center"/>
                      <w:rPr>
                        <w:rFonts w:ascii="Times New Roman" w:eastAsiaTheme="minorHAnsi" w:hAnsi="Times New Roman"/>
                        <w:i/>
                        <w:sz w:val="20"/>
                      </w:rPr>
                    </w:pPr>
                    <w:hyperlink r:id="rId3" w:history="1">
                      <w:r w:rsidR="00E94800" w:rsidRPr="00E94800">
                        <w:rPr>
                          <w:rStyle w:val="Hyperlink"/>
                          <w:rFonts w:ascii="Times New Roman" w:eastAsiaTheme="minorHAnsi" w:hAnsi="Times New Roman"/>
                          <w:i/>
                          <w:color w:val="auto"/>
                          <w:sz w:val="20"/>
                          <w:u w:val="none"/>
                        </w:rPr>
                        <w:t>http://www.gvaa.com.br/revista/index.php/RVADS</w:t>
                      </w:r>
                    </w:hyperlink>
                  </w:p>
                  <w:p w:rsidR="00841703" w:rsidRPr="00537E78" w:rsidRDefault="00841703" w:rsidP="00841703">
                    <w:pPr>
                      <w:pStyle w:val="SemEspaamento"/>
                      <w:jc w:val="center"/>
                      <w:rPr>
                        <w:sz w:val="28"/>
                        <w:szCs w:val="28"/>
                      </w:rPr>
                    </w:pPr>
                    <w:r w:rsidRPr="00537E78">
                      <w:rPr>
                        <w:rFonts w:ascii="Times New Roman" w:hAnsi="Times New Roman"/>
                        <w:b/>
                        <w:sz w:val="28"/>
                        <w:szCs w:val="28"/>
                      </w:rPr>
                      <w:t>ARTIGO CIENTÍFICO</w:t>
                    </w:r>
                  </w:p>
                </w:txbxContent>
              </v:textbox>
            </v:shape>
          </w:pict>
        </mc:Fallback>
      </mc:AlternateContent>
    </w:r>
    <w:r w:rsidRPr="00537E78">
      <w:rPr>
        <w:rFonts w:ascii="Times New Roman" w:hAnsi="Times New Roman"/>
        <w:b/>
        <w:noProof/>
        <w:sz w:val="24"/>
        <w:szCs w:val="24"/>
        <w:lang w:eastAsia="pt-BR"/>
      </w:rPr>
      <w:drawing>
        <wp:anchor distT="0" distB="0" distL="114300" distR="114300" simplePos="0" relativeHeight="251675648" behindDoc="1" locked="0" layoutInCell="1" allowOverlap="1" wp14:anchorId="5CCF7D70" wp14:editId="1F0C139F">
          <wp:simplePos x="0" y="0"/>
          <wp:positionH relativeFrom="column">
            <wp:posOffset>5379720</wp:posOffset>
          </wp:positionH>
          <wp:positionV relativeFrom="paragraph">
            <wp:posOffset>-177165</wp:posOffset>
          </wp:positionV>
          <wp:extent cx="1049020" cy="795020"/>
          <wp:effectExtent l="0" t="0" r="0" b="5080"/>
          <wp:wrapTight wrapText="bothSides">
            <wp:wrapPolygon edited="0">
              <wp:start x="13729" y="0"/>
              <wp:lineTo x="4315" y="518"/>
              <wp:lineTo x="392" y="3105"/>
              <wp:lineTo x="392" y="11904"/>
              <wp:lineTo x="7061" y="17080"/>
              <wp:lineTo x="0" y="19150"/>
              <wp:lineTo x="0" y="21220"/>
              <wp:lineTo x="20397" y="21220"/>
              <wp:lineTo x="19220" y="17080"/>
              <wp:lineTo x="20789" y="11387"/>
              <wp:lineTo x="20789" y="6211"/>
              <wp:lineTo x="19220" y="3623"/>
              <wp:lineTo x="15298" y="0"/>
              <wp:lineTo x="13729"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A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9020" cy="79502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697" w:rsidRPr="00E94800" w:rsidRDefault="005C0968" w:rsidP="00E94800">
    <w:pPr>
      <w:pStyle w:val="Cabealho"/>
      <w:jc w:val="center"/>
    </w:pPr>
    <w:r w:rsidRPr="005C0968">
      <w:rPr>
        <w:rFonts w:ascii="Times New Roman" w:hAnsi="Times New Roman"/>
        <w:i/>
        <w:sz w:val="20"/>
        <w:szCs w:val="20"/>
      </w:rPr>
      <w:t>Alfredo Mendonça de Sousa</w:t>
    </w:r>
    <w:r w:rsidR="002D3697">
      <w:rPr>
        <w:rFonts w:ascii="Times New Roman" w:hAnsi="Times New Roman"/>
        <w:i/>
        <w:sz w:val="20"/>
        <w:szCs w:val="20"/>
      </w:rPr>
      <w:t xml:space="preserve">, </w:t>
    </w:r>
    <w:proofErr w:type="gramStart"/>
    <w:r w:rsidR="002D3697">
      <w:rPr>
        <w:rFonts w:ascii="Times New Roman" w:hAnsi="Times New Roman"/>
        <w:i/>
        <w:sz w:val="20"/>
        <w:szCs w:val="20"/>
      </w:rPr>
      <w:t>et</w:t>
    </w:r>
    <w:proofErr w:type="gramEnd"/>
    <w:r w:rsidR="002D3697">
      <w:rPr>
        <w:rFonts w:ascii="Times New Roman" w:hAnsi="Times New Roman"/>
        <w:i/>
        <w:sz w:val="20"/>
        <w:szCs w:val="20"/>
      </w:rPr>
      <w:t xml:space="preserve"> al</w:t>
    </w:r>
    <w:r w:rsidR="00E94800">
      <w:rPr>
        <w:noProof/>
        <w:lang w:eastAsia="pt-BR"/>
      </w:rPr>
      <mc:AlternateContent>
        <mc:Choice Requires="wps">
          <w:drawing>
            <wp:anchor distT="0" distB="0" distL="114300" distR="114300" simplePos="0" relativeHeight="251684864" behindDoc="0" locked="0" layoutInCell="1" allowOverlap="1" wp14:anchorId="6EFA24F4" wp14:editId="0D689D0E">
              <wp:simplePos x="0" y="0"/>
              <wp:positionH relativeFrom="column">
                <wp:posOffset>3175</wp:posOffset>
              </wp:positionH>
              <wp:positionV relativeFrom="paragraph">
                <wp:posOffset>144780</wp:posOffset>
              </wp:positionV>
              <wp:extent cx="6475095" cy="0"/>
              <wp:effectExtent l="10160" t="13970" r="10795" b="5080"/>
              <wp:wrapNone/>
              <wp:docPr id="19"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5095" cy="0"/>
                      </a:xfrm>
                      <a:prstGeom prst="line">
                        <a:avLst/>
                      </a:prstGeom>
                      <a:noFill/>
                      <a:ln w="9525" cap="flat" cmpd="sng" algn="ctr">
                        <a:solidFill>
                          <a:srgbClr val="0D54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" strokecolor="#0d5408"/>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16" w:rsidRPr="00E94800" w:rsidRDefault="00726816" w:rsidP="00E94800">
    <w:pPr>
      <w:pStyle w:val="Cabealho"/>
      <w:jc w:val="center"/>
    </w:pPr>
    <w:r w:rsidRPr="005C0968">
      <w:rPr>
        <w:rFonts w:ascii="Times New Roman" w:hAnsi="Times New Roman"/>
        <w:i/>
        <w:sz w:val="20"/>
        <w:szCs w:val="20"/>
      </w:rPr>
      <w:t>Alfredo Mendonça de Sousa</w:t>
    </w:r>
    <w:r>
      <w:rPr>
        <w:rFonts w:ascii="Times New Roman" w:hAnsi="Times New Roman"/>
        <w:i/>
        <w:sz w:val="20"/>
        <w:szCs w:val="20"/>
      </w:rPr>
      <w:t xml:space="preserve">, </w:t>
    </w:r>
    <w:proofErr w:type="gramStart"/>
    <w:r>
      <w:rPr>
        <w:rFonts w:ascii="Times New Roman" w:hAnsi="Times New Roman"/>
        <w:i/>
        <w:sz w:val="20"/>
        <w:szCs w:val="20"/>
      </w:rPr>
      <w:t>et</w:t>
    </w:r>
    <w:proofErr w:type="gramEnd"/>
    <w:r>
      <w:rPr>
        <w:rFonts w:ascii="Times New Roman" w:hAnsi="Times New Roman"/>
        <w:i/>
        <w:sz w:val="20"/>
        <w:szCs w:val="20"/>
      </w:rPr>
      <w:t xml:space="preserve"> al</w:t>
    </w:r>
    <w:r>
      <w:rPr>
        <w:noProof/>
        <w:lang w:eastAsia="pt-BR"/>
      </w:rPr>
      <mc:AlternateContent>
        <mc:Choice Requires="wps">
          <w:drawing>
            <wp:anchor distT="0" distB="0" distL="114300" distR="114300" simplePos="0" relativeHeight="251691008" behindDoc="0" locked="0" layoutInCell="1" allowOverlap="1" wp14:anchorId="628F8374" wp14:editId="36B2E4AA">
              <wp:simplePos x="0" y="0"/>
              <wp:positionH relativeFrom="column">
                <wp:posOffset>3175</wp:posOffset>
              </wp:positionH>
              <wp:positionV relativeFrom="paragraph">
                <wp:posOffset>144780</wp:posOffset>
              </wp:positionV>
              <wp:extent cx="6475095" cy="0"/>
              <wp:effectExtent l="10160" t="13970" r="10795" b="5080"/>
              <wp:wrapNone/>
              <wp:docPr id="14"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5095" cy="0"/>
                      </a:xfrm>
                      <a:prstGeom prst="line">
                        <a:avLst/>
                      </a:prstGeom>
                      <a:noFill/>
                      <a:ln w="9525" cap="flat" cmpd="sng" algn="ctr">
                        <a:solidFill>
                          <a:srgbClr val="0D54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" strokecolor="#0d5408"/>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4E" w:rsidRDefault="0024264E">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4E" w:rsidRPr="00D963E8" w:rsidRDefault="0024264E" w:rsidP="00D963E8">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8C" w:rsidRPr="00E94800" w:rsidRDefault="00B72C8C" w:rsidP="00E94800">
    <w:pPr>
      <w:pStyle w:val="Cabealho"/>
      <w:jc w:val="center"/>
    </w:pPr>
    <w:r w:rsidRPr="005C0968">
      <w:rPr>
        <w:rFonts w:ascii="Times New Roman" w:hAnsi="Times New Roman"/>
        <w:i/>
        <w:sz w:val="20"/>
        <w:szCs w:val="20"/>
      </w:rPr>
      <w:t>Alfredo Mendonça de Sousa</w:t>
    </w:r>
    <w:r>
      <w:rPr>
        <w:rFonts w:ascii="Times New Roman" w:hAnsi="Times New Roman"/>
        <w:i/>
        <w:sz w:val="20"/>
        <w:szCs w:val="20"/>
      </w:rPr>
      <w:t xml:space="preserve">, </w:t>
    </w:r>
    <w:proofErr w:type="gramStart"/>
    <w:r>
      <w:rPr>
        <w:rFonts w:ascii="Times New Roman" w:hAnsi="Times New Roman"/>
        <w:i/>
        <w:sz w:val="20"/>
        <w:szCs w:val="20"/>
      </w:rPr>
      <w:t>et</w:t>
    </w:r>
    <w:proofErr w:type="gramEnd"/>
    <w:r>
      <w:rPr>
        <w:rFonts w:ascii="Times New Roman" w:hAnsi="Times New Roman"/>
        <w:i/>
        <w:sz w:val="20"/>
        <w:szCs w:val="20"/>
      </w:rPr>
      <w:t xml:space="preserve"> al</w:t>
    </w:r>
    <w:r>
      <w:rPr>
        <w:noProof/>
        <w:lang w:eastAsia="pt-BR"/>
      </w:rPr>
      <mc:AlternateContent>
        <mc:Choice Requires="wps">
          <w:drawing>
            <wp:anchor distT="0" distB="0" distL="114300" distR="114300" simplePos="0" relativeHeight="251695104" behindDoc="0" locked="0" layoutInCell="1" allowOverlap="1" wp14:anchorId="027F7F27" wp14:editId="703DAFB1">
              <wp:simplePos x="0" y="0"/>
              <wp:positionH relativeFrom="column">
                <wp:posOffset>3175</wp:posOffset>
              </wp:positionH>
              <wp:positionV relativeFrom="paragraph">
                <wp:posOffset>144780</wp:posOffset>
              </wp:positionV>
              <wp:extent cx="6475095" cy="0"/>
              <wp:effectExtent l="10160" t="13970" r="10795" b="5080"/>
              <wp:wrapNone/>
              <wp:docPr id="22"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5095" cy="0"/>
                      </a:xfrm>
                      <a:prstGeom prst="line">
                        <a:avLst/>
                      </a:prstGeom>
                      <a:noFill/>
                      <a:ln w="9525" cap="flat" cmpd="sng" algn="ctr">
                        <a:solidFill>
                          <a:srgbClr val="0D54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" strokecolor="#0d5408"/>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5D"/>
    <w:rsid w:val="00003B9B"/>
    <w:rsid w:val="00016CB2"/>
    <w:rsid w:val="000423AC"/>
    <w:rsid w:val="00081B3C"/>
    <w:rsid w:val="000F4904"/>
    <w:rsid w:val="001261C3"/>
    <w:rsid w:val="00142FFA"/>
    <w:rsid w:val="0016382F"/>
    <w:rsid w:val="00171E78"/>
    <w:rsid w:val="00186CF6"/>
    <w:rsid w:val="0019170D"/>
    <w:rsid w:val="00194994"/>
    <w:rsid w:val="001B3BFD"/>
    <w:rsid w:val="001D0ED5"/>
    <w:rsid w:val="0024264E"/>
    <w:rsid w:val="00267404"/>
    <w:rsid w:val="0027436D"/>
    <w:rsid w:val="00274AA2"/>
    <w:rsid w:val="00274DF3"/>
    <w:rsid w:val="00284E8F"/>
    <w:rsid w:val="002D3697"/>
    <w:rsid w:val="00302109"/>
    <w:rsid w:val="00310197"/>
    <w:rsid w:val="00325F80"/>
    <w:rsid w:val="00327973"/>
    <w:rsid w:val="00346BD4"/>
    <w:rsid w:val="0035297A"/>
    <w:rsid w:val="00361AF1"/>
    <w:rsid w:val="00387CF3"/>
    <w:rsid w:val="003A16A4"/>
    <w:rsid w:val="003A2EE1"/>
    <w:rsid w:val="003A3652"/>
    <w:rsid w:val="003A3FCC"/>
    <w:rsid w:val="003A46E4"/>
    <w:rsid w:val="003B6DEF"/>
    <w:rsid w:val="003B7FBB"/>
    <w:rsid w:val="003C40D5"/>
    <w:rsid w:val="003C6F55"/>
    <w:rsid w:val="003C7595"/>
    <w:rsid w:val="003F10FB"/>
    <w:rsid w:val="0040637A"/>
    <w:rsid w:val="00415718"/>
    <w:rsid w:val="00421A55"/>
    <w:rsid w:val="00433114"/>
    <w:rsid w:val="00433E7C"/>
    <w:rsid w:val="00436DF3"/>
    <w:rsid w:val="004373E9"/>
    <w:rsid w:val="00445F28"/>
    <w:rsid w:val="004824FB"/>
    <w:rsid w:val="00483234"/>
    <w:rsid w:val="00494F44"/>
    <w:rsid w:val="00497847"/>
    <w:rsid w:val="004A4A94"/>
    <w:rsid w:val="004B7CC6"/>
    <w:rsid w:val="004C57CF"/>
    <w:rsid w:val="004E0388"/>
    <w:rsid w:val="00537E78"/>
    <w:rsid w:val="00537F1B"/>
    <w:rsid w:val="00596E68"/>
    <w:rsid w:val="005A789A"/>
    <w:rsid w:val="005C0968"/>
    <w:rsid w:val="005C166B"/>
    <w:rsid w:val="00606381"/>
    <w:rsid w:val="00607CC2"/>
    <w:rsid w:val="00633A4C"/>
    <w:rsid w:val="0066077F"/>
    <w:rsid w:val="0067536B"/>
    <w:rsid w:val="006A5D3A"/>
    <w:rsid w:val="006B024F"/>
    <w:rsid w:val="006B652F"/>
    <w:rsid w:val="006C6970"/>
    <w:rsid w:val="006D113A"/>
    <w:rsid w:val="006D59F8"/>
    <w:rsid w:val="00726816"/>
    <w:rsid w:val="0075072C"/>
    <w:rsid w:val="00753E9C"/>
    <w:rsid w:val="00766C9F"/>
    <w:rsid w:val="007733D7"/>
    <w:rsid w:val="00777619"/>
    <w:rsid w:val="007A2031"/>
    <w:rsid w:val="007C5ED9"/>
    <w:rsid w:val="00800779"/>
    <w:rsid w:val="00841703"/>
    <w:rsid w:val="008449DD"/>
    <w:rsid w:val="00850922"/>
    <w:rsid w:val="008670EA"/>
    <w:rsid w:val="008B4D19"/>
    <w:rsid w:val="008E7827"/>
    <w:rsid w:val="00936742"/>
    <w:rsid w:val="00951671"/>
    <w:rsid w:val="009A4AE6"/>
    <w:rsid w:val="009B20DA"/>
    <w:rsid w:val="009E5E56"/>
    <w:rsid w:val="00A07DA3"/>
    <w:rsid w:val="00A240DA"/>
    <w:rsid w:val="00A2576B"/>
    <w:rsid w:val="00A327D8"/>
    <w:rsid w:val="00A42322"/>
    <w:rsid w:val="00A65557"/>
    <w:rsid w:val="00A65A1C"/>
    <w:rsid w:val="00A72D73"/>
    <w:rsid w:val="00A80BD2"/>
    <w:rsid w:val="00AA165D"/>
    <w:rsid w:val="00AA2A75"/>
    <w:rsid w:val="00AB64EC"/>
    <w:rsid w:val="00AD2E2C"/>
    <w:rsid w:val="00AF1E7F"/>
    <w:rsid w:val="00AF4E08"/>
    <w:rsid w:val="00B72C8C"/>
    <w:rsid w:val="00B86932"/>
    <w:rsid w:val="00BC2F08"/>
    <w:rsid w:val="00C72B90"/>
    <w:rsid w:val="00C740E3"/>
    <w:rsid w:val="00C81054"/>
    <w:rsid w:val="00C857A1"/>
    <w:rsid w:val="00C87507"/>
    <w:rsid w:val="00CC46FF"/>
    <w:rsid w:val="00CC79EC"/>
    <w:rsid w:val="00CE2927"/>
    <w:rsid w:val="00CF6AD1"/>
    <w:rsid w:val="00D45553"/>
    <w:rsid w:val="00D56962"/>
    <w:rsid w:val="00D650A9"/>
    <w:rsid w:val="00D82B41"/>
    <w:rsid w:val="00D86DBA"/>
    <w:rsid w:val="00D963E8"/>
    <w:rsid w:val="00D9730B"/>
    <w:rsid w:val="00DA54AC"/>
    <w:rsid w:val="00DA6F46"/>
    <w:rsid w:val="00DD12E8"/>
    <w:rsid w:val="00DE43D2"/>
    <w:rsid w:val="00DE5D25"/>
    <w:rsid w:val="00E1267E"/>
    <w:rsid w:val="00E24260"/>
    <w:rsid w:val="00E408B5"/>
    <w:rsid w:val="00E53F17"/>
    <w:rsid w:val="00E62A14"/>
    <w:rsid w:val="00E647B6"/>
    <w:rsid w:val="00E73459"/>
    <w:rsid w:val="00E924A5"/>
    <w:rsid w:val="00E94800"/>
    <w:rsid w:val="00EC1321"/>
    <w:rsid w:val="00EC1B07"/>
    <w:rsid w:val="00ED2FEC"/>
    <w:rsid w:val="00ED36BA"/>
    <w:rsid w:val="00EF4013"/>
    <w:rsid w:val="00F20586"/>
    <w:rsid w:val="00F7091A"/>
    <w:rsid w:val="00F81428"/>
    <w:rsid w:val="00F90C88"/>
    <w:rsid w:val="00F91DC8"/>
    <w:rsid w:val="00FA0EFB"/>
    <w:rsid w:val="00FA3969"/>
    <w:rsid w:val="00FE43B7"/>
    <w:rsid w:val="00FE6262"/>
    <w:rsid w:val="00FF07C2"/>
    <w:rsid w:val="00FF7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paragraph" w:styleId="Pr-formataoHTML">
    <w:name w:val="HTML Preformatted"/>
    <w:basedOn w:val="Normal"/>
    <w:link w:val="Pr-formataoHTMLChar"/>
    <w:uiPriority w:val="99"/>
    <w:semiHidden/>
    <w:unhideWhenUsed/>
    <w:rsid w:val="00A24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240DA"/>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2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paragraph" w:styleId="Pr-formataoHTML">
    <w:name w:val="HTML Preformatted"/>
    <w:basedOn w:val="Normal"/>
    <w:link w:val="Pr-formataoHTMLChar"/>
    <w:uiPriority w:val="99"/>
    <w:semiHidden/>
    <w:unhideWhenUsed/>
    <w:rsid w:val="00A24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240D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3846">
      <w:bodyDiv w:val="1"/>
      <w:marLeft w:val="0"/>
      <w:marRight w:val="0"/>
      <w:marTop w:val="0"/>
      <w:marBottom w:val="0"/>
      <w:divBdr>
        <w:top w:val="none" w:sz="0" w:space="0" w:color="auto"/>
        <w:left w:val="none" w:sz="0" w:space="0" w:color="auto"/>
        <w:bottom w:val="none" w:sz="0" w:space="0" w:color="auto"/>
        <w:right w:val="none" w:sz="0" w:space="0" w:color="auto"/>
      </w:divBdr>
    </w:div>
    <w:div w:id="1978997737">
      <w:bodyDiv w:val="1"/>
      <w:marLeft w:val="0"/>
      <w:marRight w:val="0"/>
      <w:marTop w:val="0"/>
      <w:marBottom w:val="0"/>
      <w:divBdr>
        <w:top w:val="none" w:sz="0" w:space="0" w:color="auto"/>
        <w:left w:val="none" w:sz="0" w:space="0" w:color="auto"/>
        <w:bottom w:val="none" w:sz="0" w:space="0" w:color="auto"/>
        <w:right w:val="none" w:sz="0" w:space="0" w:color="auto"/>
      </w:divBdr>
    </w:div>
    <w:div w:id="21311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www.cnpms.embrapa.br/publicacoes/milho_7_ed/mercado.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7.xml"/><Relationship Id="rId33" Type="http://schemas.openxmlformats.org/officeDocument/2006/relationships/hyperlink" Target="http://www.conab.gov.br/conteudos.php?a=1252&amp;t=&amp;Pagina_objcmsconteudos=2"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7.emf"/><Relationship Id="rId30" Type="http://schemas.openxmlformats.org/officeDocument/2006/relationships/image" Target="media/image8.emf"/><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gvaa.com.br/revista/index.php/RVADS" TargetMode="External"/><Relationship Id="rId2" Type="http://schemas.openxmlformats.org/officeDocument/2006/relationships/hyperlink" Target="http://www.gvaa.com.br/revista/index.php/RVADS"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BBC8-4142-48B4-8334-FE9B9098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3822</Words>
  <Characters>20642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dc:creator>
  <cp:lastModifiedBy>Antônio Neto</cp:lastModifiedBy>
  <cp:revision>3</cp:revision>
  <cp:lastPrinted>2015-05-07T12:41:00Z</cp:lastPrinted>
  <dcterms:created xsi:type="dcterms:W3CDTF">2015-05-08T01:47:00Z</dcterms:created>
  <dcterms:modified xsi:type="dcterms:W3CDTF">2015-05-08T01:48:00Z</dcterms:modified>
</cp:coreProperties>
</file>