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60" w:rsidRPr="00F45860" w:rsidRDefault="00F45860" w:rsidP="00F45860">
      <w:pPr>
        <w:jc w:val="center"/>
        <w:rPr>
          <w:rFonts w:ascii="Times New Roman" w:hAnsi="Times New Roman" w:cs="Times New Roman"/>
          <w:sz w:val="28"/>
        </w:rPr>
      </w:pPr>
      <w:proofErr w:type="spellStart"/>
      <w:r w:rsidRPr="00F45860">
        <w:rPr>
          <w:rFonts w:ascii="Times New Roman" w:hAnsi="Times New Roman" w:cs="Times New Roman"/>
          <w:b/>
          <w:sz w:val="28"/>
        </w:rPr>
        <w:t>Biométria</w:t>
      </w:r>
      <w:proofErr w:type="spellEnd"/>
      <w:r w:rsidRPr="00F45860">
        <w:rPr>
          <w:rFonts w:ascii="Times New Roman" w:hAnsi="Times New Roman" w:cs="Times New Roman"/>
          <w:b/>
          <w:sz w:val="28"/>
        </w:rPr>
        <w:t xml:space="preserve"> de frutos e sementes de pau- </w:t>
      </w:r>
      <w:proofErr w:type="gramStart"/>
      <w:r w:rsidRPr="00F45860">
        <w:rPr>
          <w:rFonts w:ascii="Times New Roman" w:hAnsi="Times New Roman" w:cs="Times New Roman"/>
          <w:b/>
          <w:sz w:val="28"/>
        </w:rPr>
        <w:t>pedra</w:t>
      </w:r>
      <w:r w:rsidRPr="00F45860">
        <w:rPr>
          <w:rFonts w:ascii="Times New Roman" w:hAnsi="Times New Roman" w:cs="Times New Roman"/>
          <w:sz w:val="28"/>
        </w:rPr>
        <w:t xml:space="preserve">  </w:t>
      </w:r>
      <w:r w:rsidRPr="00F45860">
        <w:rPr>
          <w:rFonts w:ascii="Times New Roman" w:hAnsi="Times New Roman" w:cs="Times New Roman"/>
          <w:b/>
          <w:sz w:val="28"/>
        </w:rPr>
        <w:t>(</w:t>
      </w:r>
      <w:proofErr w:type="spellStart"/>
      <w:proofErr w:type="gramEnd"/>
      <w:r w:rsidRPr="00F45860">
        <w:rPr>
          <w:rFonts w:ascii="Times New Roman" w:hAnsi="Times New Roman" w:cs="Times New Roman"/>
          <w:i/>
          <w:sz w:val="28"/>
        </w:rPr>
        <w:t>luetzelburgia</w:t>
      </w:r>
      <w:proofErr w:type="spellEnd"/>
      <w:r w:rsidRPr="00F45860">
        <w:rPr>
          <w:rFonts w:ascii="Times New Roman" w:hAnsi="Times New Roman" w:cs="Times New Roman"/>
          <w:i/>
          <w:sz w:val="28"/>
        </w:rPr>
        <w:t xml:space="preserve"> </w:t>
      </w:r>
      <w:proofErr w:type="spellStart"/>
      <w:r w:rsidRPr="00F45860">
        <w:rPr>
          <w:rFonts w:ascii="Times New Roman" w:hAnsi="Times New Roman" w:cs="Times New Roman"/>
          <w:i/>
          <w:sz w:val="28"/>
        </w:rPr>
        <w:t>auriculata</w:t>
      </w:r>
      <w:proofErr w:type="spellEnd"/>
      <w:r w:rsidRPr="00F45860">
        <w:rPr>
          <w:rFonts w:ascii="Times New Roman" w:hAnsi="Times New Roman" w:cs="Times New Roman"/>
          <w:i/>
          <w:sz w:val="28"/>
        </w:rPr>
        <w:t xml:space="preserve"> (</w:t>
      </w:r>
      <w:proofErr w:type="spellStart"/>
      <w:r w:rsidRPr="00F45860">
        <w:rPr>
          <w:rFonts w:ascii="Times New Roman" w:hAnsi="Times New Roman" w:cs="Times New Roman"/>
          <w:i/>
          <w:sz w:val="28"/>
        </w:rPr>
        <w:t>allemao</w:t>
      </w:r>
      <w:proofErr w:type="spellEnd"/>
      <w:r w:rsidRPr="00F45860">
        <w:rPr>
          <w:rFonts w:ascii="Times New Roman" w:hAnsi="Times New Roman" w:cs="Times New Roman"/>
          <w:i/>
          <w:sz w:val="28"/>
        </w:rPr>
        <w:t xml:space="preserve">) </w:t>
      </w:r>
      <w:proofErr w:type="spellStart"/>
      <w:r w:rsidRPr="00F45860">
        <w:rPr>
          <w:rFonts w:ascii="Times New Roman" w:hAnsi="Times New Roman" w:cs="Times New Roman"/>
          <w:i/>
          <w:sz w:val="28"/>
        </w:rPr>
        <w:t>ducke</w:t>
      </w:r>
      <w:proofErr w:type="spellEnd"/>
      <w:r w:rsidRPr="00F45860">
        <w:rPr>
          <w:rFonts w:ascii="Times New Roman" w:hAnsi="Times New Roman" w:cs="Times New Roman"/>
          <w:sz w:val="28"/>
        </w:rPr>
        <w:t>)</w:t>
      </w:r>
    </w:p>
    <w:p w:rsidR="00F45860" w:rsidRPr="00F45860" w:rsidRDefault="00F45860" w:rsidP="00F45860">
      <w:pPr>
        <w:jc w:val="center"/>
        <w:rPr>
          <w:rFonts w:ascii="Times New Roman" w:hAnsi="Times New Roman" w:cs="Times New Roman"/>
          <w:i/>
          <w:sz w:val="28"/>
        </w:rPr>
      </w:pPr>
      <w:proofErr w:type="spellStart"/>
      <w:r w:rsidRPr="00F45860">
        <w:rPr>
          <w:rFonts w:ascii="Times New Roman" w:hAnsi="Times New Roman" w:cs="Times New Roman"/>
          <w:b/>
          <w:i/>
          <w:sz w:val="28"/>
        </w:rPr>
        <w:t>Biometrics</w:t>
      </w:r>
      <w:proofErr w:type="spellEnd"/>
      <w:r w:rsidRPr="00F45860">
        <w:rPr>
          <w:rFonts w:ascii="Times New Roman" w:hAnsi="Times New Roman" w:cs="Times New Roman"/>
          <w:b/>
          <w:i/>
          <w:sz w:val="28"/>
        </w:rPr>
        <w:t xml:space="preserve"> </w:t>
      </w:r>
      <w:proofErr w:type="spellStart"/>
      <w:r w:rsidRPr="00F45860">
        <w:rPr>
          <w:rFonts w:ascii="Times New Roman" w:hAnsi="Times New Roman" w:cs="Times New Roman"/>
          <w:b/>
          <w:i/>
          <w:sz w:val="28"/>
        </w:rPr>
        <w:t>of</w:t>
      </w:r>
      <w:proofErr w:type="spellEnd"/>
      <w:r w:rsidRPr="00F45860">
        <w:rPr>
          <w:rFonts w:ascii="Times New Roman" w:hAnsi="Times New Roman" w:cs="Times New Roman"/>
          <w:b/>
          <w:i/>
          <w:sz w:val="28"/>
        </w:rPr>
        <w:t xml:space="preserve"> </w:t>
      </w:r>
      <w:proofErr w:type="spellStart"/>
      <w:r w:rsidRPr="00F45860">
        <w:rPr>
          <w:rFonts w:ascii="Times New Roman" w:hAnsi="Times New Roman" w:cs="Times New Roman"/>
          <w:b/>
          <w:i/>
          <w:sz w:val="28"/>
        </w:rPr>
        <w:t>fruit</w:t>
      </w:r>
      <w:proofErr w:type="spellEnd"/>
      <w:r w:rsidRPr="00F45860">
        <w:rPr>
          <w:rFonts w:ascii="Times New Roman" w:hAnsi="Times New Roman" w:cs="Times New Roman"/>
          <w:b/>
          <w:i/>
          <w:sz w:val="28"/>
        </w:rPr>
        <w:t xml:space="preserve"> </w:t>
      </w:r>
      <w:proofErr w:type="spellStart"/>
      <w:r w:rsidRPr="00F45860">
        <w:rPr>
          <w:rFonts w:ascii="Times New Roman" w:hAnsi="Times New Roman" w:cs="Times New Roman"/>
          <w:b/>
          <w:i/>
          <w:sz w:val="28"/>
        </w:rPr>
        <w:t>and</w:t>
      </w:r>
      <w:proofErr w:type="spellEnd"/>
      <w:r w:rsidRPr="00F45860">
        <w:rPr>
          <w:rFonts w:ascii="Times New Roman" w:hAnsi="Times New Roman" w:cs="Times New Roman"/>
          <w:b/>
          <w:i/>
          <w:sz w:val="28"/>
        </w:rPr>
        <w:t xml:space="preserve"> </w:t>
      </w:r>
      <w:proofErr w:type="spellStart"/>
      <w:r w:rsidRPr="00F45860">
        <w:rPr>
          <w:rFonts w:ascii="Times New Roman" w:hAnsi="Times New Roman" w:cs="Times New Roman"/>
          <w:b/>
          <w:i/>
          <w:sz w:val="28"/>
        </w:rPr>
        <w:t>seeds</w:t>
      </w:r>
      <w:proofErr w:type="spellEnd"/>
      <w:r w:rsidRPr="00F45860">
        <w:rPr>
          <w:rFonts w:ascii="Times New Roman" w:hAnsi="Times New Roman" w:cs="Times New Roman"/>
          <w:b/>
          <w:i/>
          <w:sz w:val="28"/>
        </w:rPr>
        <w:t xml:space="preserve"> </w:t>
      </w:r>
      <w:proofErr w:type="spellStart"/>
      <w:r w:rsidRPr="00F45860">
        <w:rPr>
          <w:rFonts w:ascii="Times New Roman" w:hAnsi="Times New Roman" w:cs="Times New Roman"/>
          <w:b/>
          <w:i/>
          <w:sz w:val="28"/>
        </w:rPr>
        <w:t>of</w:t>
      </w:r>
      <w:proofErr w:type="spellEnd"/>
      <w:r w:rsidRPr="00F45860">
        <w:rPr>
          <w:rFonts w:ascii="Times New Roman" w:hAnsi="Times New Roman" w:cs="Times New Roman"/>
          <w:b/>
          <w:i/>
          <w:sz w:val="28"/>
        </w:rPr>
        <w:t xml:space="preserve"> pau-pedra </w:t>
      </w:r>
      <w:r w:rsidRPr="00F45860">
        <w:rPr>
          <w:rFonts w:ascii="Times New Roman" w:hAnsi="Times New Roman" w:cs="Times New Roman"/>
          <w:i/>
          <w:sz w:val="28"/>
        </w:rPr>
        <w:t>(</w:t>
      </w:r>
      <w:proofErr w:type="spellStart"/>
      <w:r w:rsidRPr="00F45860">
        <w:rPr>
          <w:rFonts w:ascii="Times New Roman" w:hAnsi="Times New Roman" w:cs="Times New Roman"/>
          <w:i/>
          <w:sz w:val="28"/>
        </w:rPr>
        <w:t>luetzelburgia</w:t>
      </w:r>
      <w:proofErr w:type="spellEnd"/>
      <w:r w:rsidRPr="00F45860">
        <w:rPr>
          <w:rFonts w:ascii="Times New Roman" w:hAnsi="Times New Roman" w:cs="Times New Roman"/>
          <w:i/>
          <w:sz w:val="28"/>
        </w:rPr>
        <w:t xml:space="preserve"> </w:t>
      </w:r>
      <w:proofErr w:type="spellStart"/>
      <w:r w:rsidRPr="00F45860">
        <w:rPr>
          <w:rFonts w:ascii="Times New Roman" w:hAnsi="Times New Roman" w:cs="Times New Roman"/>
          <w:i/>
          <w:sz w:val="28"/>
        </w:rPr>
        <w:t>auriculata</w:t>
      </w:r>
      <w:proofErr w:type="spellEnd"/>
      <w:r w:rsidRPr="00F45860">
        <w:rPr>
          <w:rFonts w:ascii="Times New Roman" w:hAnsi="Times New Roman" w:cs="Times New Roman"/>
          <w:i/>
          <w:sz w:val="28"/>
        </w:rPr>
        <w:t xml:space="preserve"> (</w:t>
      </w:r>
      <w:proofErr w:type="spellStart"/>
      <w:r w:rsidRPr="00F45860">
        <w:rPr>
          <w:rFonts w:ascii="Times New Roman" w:hAnsi="Times New Roman" w:cs="Times New Roman"/>
          <w:i/>
          <w:sz w:val="28"/>
        </w:rPr>
        <w:t>allemao</w:t>
      </w:r>
      <w:proofErr w:type="spellEnd"/>
      <w:r w:rsidRPr="00F45860">
        <w:rPr>
          <w:rFonts w:ascii="Times New Roman" w:hAnsi="Times New Roman" w:cs="Times New Roman"/>
          <w:i/>
          <w:sz w:val="28"/>
        </w:rPr>
        <w:t xml:space="preserve">) </w:t>
      </w:r>
      <w:proofErr w:type="spellStart"/>
      <w:r w:rsidRPr="00F45860">
        <w:rPr>
          <w:rFonts w:ascii="Times New Roman" w:hAnsi="Times New Roman" w:cs="Times New Roman"/>
          <w:i/>
          <w:sz w:val="28"/>
        </w:rPr>
        <w:t>ducke</w:t>
      </w:r>
      <w:proofErr w:type="spellEnd"/>
      <w:r w:rsidRPr="00F45860">
        <w:rPr>
          <w:rFonts w:ascii="Times New Roman" w:hAnsi="Times New Roman" w:cs="Times New Roman"/>
          <w:i/>
          <w:sz w:val="28"/>
        </w:rPr>
        <w:t>)</w:t>
      </w:r>
    </w:p>
    <w:p w:rsidR="00F45860" w:rsidRDefault="00F45860" w:rsidP="00F45860">
      <w:pPr>
        <w:jc w:val="center"/>
        <w:rPr>
          <w:rFonts w:ascii="Times New Roman" w:hAnsi="Times New Roman" w:cs="Times New Roman"/>
        </w:rPr>
      </w:pPr>
      <w:r w:rsidRPr="00F45860">
        <w:rPr>
          <w:rFonts w:ascii="Times New Roman" w:hAnsi="Times New Roman" w:cs="Times New Roman"/>
        </w:rPr>
        <w:t>Roberto Ferreira Barroso</w:t>
      </w:r>
      <w:r w:rsidR="00D46D5F">
        <w:rPr>
          <w:rFonts w:ascii="Times New Roman" w:hAnsi="Times New Roman" w:cs="Times New Roman"/>
          <w:vertAlign w:val="superscript"/>
        </w:rPr>
        <w:t>1</w:t>
      </w:r>
      <w:r w:rsidRPr="00F45860">
        <w:rPr>
          <w:rFonts w:ascii="Times New Roman" w:hAnsi="Times New Roman" w:cs="Times New Roman"/>
        </w:rPr>
        <w:t>, Francisco de Assis da Silva</w:t>
      </w:r>
      <w:r w:rsidR="00D46D5F">
        <w:rPr>
          <w:rFonts w:ascii="Times New Roman" w:hAnsi="Times New Roman" w:cs="Times New Roman"/>
          <w:vertAlign w:val="superscript"/>
        </w:rPr>
        <w:t>2</w:t>
      </w:r>
      <w:r w:rsidRPr="00F45860">
        <w:rPr>
          <w:rFonts w:ascii="Times New Roman" w:hAnsi="Times New Roman" w:cs="Times New Roman"/>
        </w:rPr>
        <w:t>, Jackson Silva Nobrega</w:t>
      </w:r>
      <w:r w:rsidR="00D46D5F">
        <w:rPr>
          <w:rFonts w:ascii="Times New Roman" w:hAnsi="Times New Roman" w:cs="Times New Roman"/>
          <w:vertAlign w:val="superscript"/>
        </w:rPr>
        <w:t>3</w:t>
      </w:r>
      <w:r w:rsidRPr="00F45860">
        <w:rPr>
          <w:rFonts w:ascii="Times New Roman" w:hAnsi="Times New Roman" w:cs="Times New Roman"/>
        </w:rPr>
        <w:t>, Danilo Brito Novaes</w:t>
      </w:r>
      <w:r w:rsidR="00D46D5F">
        <w:rPr>
          <w:rFonts w:ascii="Times New Roman" w:hAnsi="Times New Roman" w:cs="Times New Roman"/>
          <w:vertAlign w:val="superscript"/>
        </w:rPr>
        <w:t>4</w:t>
      </w:r>
      <w:r w:rsidRPr="00F45860">
        <w:rPr>
          <w:rFonts w:ascii="Times New Roman" w:hAnsi="Times New Roman" w:cs="Times New Roman"/>
        </w:rPr>
        <w:t xml:space="preserve">, </w:t>
      </w:r>
      <w:proofErr w:type="spellStart"/>
      <w:r w:rsidRPr="00F45860">
        <w:rPr>
          <w:rFonts w:ascii="Times New Roman" w:hAnsi="Times New Roman" w:cs="Times New Roman"/>
        </w:rPr>
        <w:t>Luadson</w:t>
      </w:r>
      <w:proofErr w:type="spellEnd"/>
      <w:r w:rsidRPr="00F45860">
        <w:rPr>
          <w:rFonts w:ascii="Times New Roman" w:hAnsi="Times New Roman" w:cs="Times New Roman"/>
        </w:rPr>
        <w:t xml:space="preserve"> José da Silva e Silva</w:t>
      </w:r>
      <w:r w:rsidR="00D46D5F">
        <w:rPr>
          <w:rFonts w:ascii="Times New Roman" w:hAnsi="Times New Roman" w:cs="Times New Roman"/>
          <w:vertAlign w:val="superscript"/>
        </w:rPr>
        <w:t>5</w:t>
      </w:r>
      <w:r w:rsidRPr="00F45860">
        <w:rPr>
          <w:rFonts w:ascii="Times New Roman" w:hAnsi="Times New Roman" w:cs="Times New Roman"/>
        </w:rPr>
        <w:t>.</w:t>
      </w:r>
    </w:p>
    <w:p w:rsidR="00D46D5F" w:rsidRPr="00D46D5F" w:rsidRDefault="00D46D5F" w:rsidP="00D46D5F">
      <w:pPr>
        <w:rPr>
          <w:rFonts w:ascii="Times New Roman" w:hAnsi="Times New Roman" w:cs="Times New Roman"/>
          <w:sz w:val="20"/>
        </w:rPr>
      </w:pPr>
      <w:r w:rsidRPr="00D46D5F">
        <w:rPr>
          <w:rFonts w:ascii="Times New Roman" w:hAnsi="Times New Roman" w:cs="Times New Roman"/>
          <w:sz w:val="20"/>
          <w:vertAlign w:val="superscript"/>
        </w:rPr>
        <w:t xml:space="preserve">1 </w:t>
      </w:r>
      <w:r w:rsidRPr="00D46D5F">
        <w:rPr>
          <w:rFonts w:ascii="Times New Roman" w:hAnsi="Times New Roman" w:cs="Times New Roman"/>
          <w:sz w:val="20"/>
        </w:rPr>
        <w:t>Mestrando em Ciências Florestais, UFCG/CSTR</w:t>
      </w:r>
      <w:r w:rsidR="002B5C3E">
        <w:rPr>
          <w:rFonts w:ascii="Times New Roman" w:hAnsi="Times New Roman" w:cs="Times New Roman"/>
          <w:sz w:val="20"/>
        </w:rPr>
        <w:t>, Patos, PB, barrosoroberto@hotmail.com</w:t>
      </w:r>
    </w:p>
    <w:p w:rsidR="00D46D5F" w:rsidRPr="00D46D5F" w:rsidRDefault="00D46D5F" w:rsidP="00D46D5F">
      <w:pPr>
        <w:rPr>
          <w:rFonts w:ascii="Times New Roman" w:hAnsi="Times New Roman" w:cs="Times New Roman"/>
          <w:sz w:val="20"/>
        </w:rPr>
      </w:pPr>
      <w:r w:rsidRPr="00D46D5F">
        <w:rPr>
          <w:rFonts w:ascii="Times New Roman" w:hAnsi="Times New Roman" w:cs="Times New Roman"/>
          <w:sz w:val="20"/>
          <w:vertAlign w:val="superscript"/>
        </w:rPr>
        <w:t xml:space="preserve">2 </w:t>
      </w:r>
      <w:r w:rsidRPr="00D46D5F">
        <w:rPr>
          <w:rFonts w:ascii="Times New Roman" w:hAnsi="Times New Roman" w:cs="Times New Roman"/>
          <w:sz w:val="20"/>
        </w:rPr>
        <w:t>Mestrando em Horticultura Tropical, UFCG/CCTA</w:t>
      </w:r>
      <w:r w:rsidR="002B5C3E">
        <w:rPr>
          <w:rFonts w:ascii="Times New Roman" w:hAnsi="Times New Roman" w:cs="Times New Roman"/>
          <w:sz w:val="20"/>
        </w:rPr>
        <w:t>, Pombal, PB, diassis47@hotmail.com</w:t>
      </w:r>
    </w:p>
    <w:p w:rsidR="00D46D5F" w:rsidRPr="00D46D5F" w:rsidRDefault="00D46D5F" w:rsidP="00D46D5F">
      <w:pPr>
        <w:rPr>
          <w:rFonts w:ascii="Times New Roman" w:hAnsi="Times New Roman" w:cs="Times New Roman"/>
          <w:sz w:val="20"/>
        </w:rPr>
      </w:pPr>
      <w:proofErr w:type="gramStart"/>
      <w:r w:rsidRPr="00D46D5F">
        <w:rPr>
          <w:rFonts w:ascii="Times New Roman" w:hAnsi="Times New Roman" w:cs="Times New Roman"/>
          <w:sz w:val="20"/>
          <w:vertAlign w:val="superscript"/>
        </w:rPr>
        <w:t xml:space="preserve">3 </w:t>
      </w:r>
      <w:r w:rsidRPr="00D46D5F">
        <w:rPr>
          <w:rFonts w:ascii="Times New Roman" w:hAnsi="Times New Roman" w:cs="Times New Roman"/>
          <w:sz w:val="20"/>
        </w:rPr>
        <w:t xml:space="preserve"> Graduando</w:t>
      </w:r>
      <w:proofErr w:type="gramEnd"/>
      <w:r w:rsidRPr="00D46D5F">
        <w:rPr>
          <w:rFonts w:ascii="Times New Roman" w:hAnsi="Times New Roman" w:cs="Times New Roman"/>
          <w:sz w:val="20"/>
        </w:rPr>
        <w:t xml:space="preserve"> em Agronomia, UFCG/CCTA</w:t>
      </w:r>
      <w:r w:rsidR="002B5C3E">
        <w:rPr>
          <w:rFonts w:ascii="Times New Roman" w:hAnsi="Times New Roman" w:cs="Times New Roman"/>
          <w:sz w:val="20"/>
        </w:rPr>
        <w:t>, Pombal, PB, jacsksonobrega@hotmail.com</w:t>
      </w:r>
    </w:p>
    <w:p w:rsidR="00D46D5F" w:rsidRPr="00D46D5F" w:rsidRDefault="00D46D5F" w:rsidP="00D46D5F">
      <w:pPr>
        <w:rPr>
          <w:rFonts w:ascii="Times New Roman" w:hAnsi="Times New Roman" w:cs="Times New Roman"/>
          <w:sz w:val="20"/>
        </w:rPr>
      </w:pPr>
      <w:r w:rsidRPr="00D46D5F">
        <w:rPr>
          <w:rFonts w:ascii="Times New Roman" w:hAnsi="Times New Roman" w:cs="Times New Roman"/>
          <w:sz w:val="20"/>
          <w:vertAlign w:val="superscript"/>
        </w:rPr>
        <w:t xml:space="preserve">4 </w:t>
      </w:r>
      <w:r w:rsidRPr="00D46D5F">
        <w:rPr>
          <w:rFonts w:ascii="Times New Roman" w:hAnsi="Times New Roman" w:cs="Times New Roman"/>
          <w:sz w:val="20"/>
        </w:rPr>
        <w:t>Mestrando em Ciências Florestais, UFCG/CSTR</w:t>
      </w:r>
      <w:r w:rsidR="002B5C3E">
        <w:rPr>
          <w:rFonts w:ascii="Times New Roman" w:hAnsi="Times New Roman" w:cs="Times New Roman"/>
          <w:sz w:val="20"/>
        </w:rPr>
        <w:t>, Patos, PB, danilobrito@hotmail.com</w:t>
      </w:r>
    </w:p>
    <w:p w:rsidR="00D46D5F" w:rsidRPr="00D46D5F" w:rsidRDefault="00D46D5F" w:rsidP="00D46D5F">
      <w:pPr>
        <w:rPr>
          <w:rFonts w:ascii="Times New Roman" w:hAnsi="Times New Roman" w:cs="Times New Roman"/>
          <w:sz w:val="20"/>
        </w:rPr>
      </w:pPr>
      <w:r w:rsidRPr="00D46D5F">
        <w:rPr>
          <w:rFonts w:ascii="Times New Roman" w:hAnsi="Times New Roman" w:cs="Times New Roman"/>
          <w:sz w:val="20"/>
          <w:vertAlign w:val="superscript"/>
        </w:rPr>
        <w:t>5</w:t>
      </w:r>
      <w:r w:rsidRPr="00D46D5F">
        <w:rPr>
          <w:rFonts w:ascii="Times New Roman" w:hAnsi="Times New Roman" w:cs="Times New Roman"/>
          <w:sz w:val="20"/>
        </w:rPr>
        <w:t xml:space="preserve"> Mestrando em Horticultura Tropical, UFCG/CCTA</w:t>
      </w:r>
      <w:r w:rsidR="002B5C3E">
        <w:rPr>
          <w:rFonts w:ascii="Times New Roman" w:hAnsi="Times New Roman" w:cs="Times New Roman"/>
          <w:sz w:val="20"/>
        </w:rPr>
        <w:t>, Pombal, PB, luanddesonjosé@hotmail.com</w:t>
      </w:r>
    </w:p>
    <w:p w:rsidR="00F45860" w:rsidRPr="00D46D5F" w:rsidRDefault="00F45860" w:rsidP="00F45860">
      <w:pPr>
        <w:jc w:val="center"/>
        <w:rPr>
          <w:rFonts w:ascii="Times New Roman" w:hAnsi="Times New Roman" w:cs="Times New Roman"/>
          <w:sz w:val="20"/>
        </w:rPr>
      </w:pPr>
    </w:p>
    <w:p w:rsidR="00F45860" w:rsidRPr="007E363E" w:rsidRDefault="00F45860" w:rsidP="00F45860">
      <w:pPr>
        <w:pStyle w:val="SemEspaamento"/>
        <w:jc w:val="both"/>
        <w:rPr>
          <w:rFonts w:ascii="Times New Roman" w:hAnsi="Times New Roman" w:cs="Times New Roman"/>
          <w:sz w:val="20"/>
          <w:szCs w:val="20"/>
        </w:rPr>
      </w:pPr>
      <w:r w:rsidRPr="00D46D5F">
        <w:rPr>
          <w:rFonts w:ascii="Times New Roman" w:hAnsi="Times New Roman" w:cs="Times New Roman"/>
          <w:b/>
        </w:rPr>
        <w:t>Resumo</w:t>
      </w:r>
      <w:r>
        <w:rPr>
          <w:rFonts w:ascii="Times New Roman" w:hAnsi="Times New Roman" w:cs="Times New Roman"/>
        </w:rPr>
        <w:t xml:space="preserve">: </w:t>
      </w:r>
      <w:r w:rsidRPr="00F42ACB">
        <w:rPr>
          <w:rFonts w:ascii="Times New Roman" w:hAnsi="Times New Roman" w:cs="Times New Roman"/>
          <w:sz w:val="20"/>
          <w:szCs w:val="20"/>
        </w:rPr>
        <w:t>A Caatinga a</w:t>
      </w:r>
      <w:r>
        <w:rPr>
          <w:rFonts w:ascii="Times New Roman" w:hAnsi="Times New Roman" w:cs="Times New Roman"/>
          <w:sz w:val="20"/>
          <w:szCs w:val="20"/>
        </w:rPr>
        <w:t>presenta uma grande diversidade</w:t>
      </w:r>
      <w:r w:rsidRPr="00F42ACB">
        <w:rPr>
          <w:rFonts w:ascii="Times New Roman" w:hAnsi="Times New Roman" w:cs="Times New Roman"/>
          <w:sz w:val="20"/>
          <w:szCs w:val="20"/>
        </w:rPr>
        <w:t xml:space="preserve"> de</w:t>
      </w:r>
      <w:r w:rsidR="002B5C3E">
        <w:rPr>
          <w:rFonts w:ascii="Times New Roman" w:hAnsi="Times New Roman" w:cs="Times New Roman"/>
          <w:sz w:val="20"/>
          <w:szCs w:val="20"/>
        </w:rPr>
        <w:t xml:space="preserve"> </w:t>
      </w:r>
      <w:bookmarkStart w:id="0" w:name="_GoBack"/>
      <w:bookmarkEnd w:id="0"/>
      <w:r w:rsidRPr="00F42ACB">
        <w:rPr>
          <w:rFonts w:ascii="Times New Roman" w:hAnsi="Times New Roman" w:cs="Times New Roman"/>
          <w:sz w:val="20"/>
          <w:szCs w:val="20"/>
        </w:rPr>
        <w:t>espécies</w:t>
      </w:r>
      <w:r>
        <w:rPr>
          <w:rFonts w:ascii="Times New Roman" w:hAnsi="Times New Roman" w:cs="Times New Roman"/>
          <w:sz w:val="20"/>
          <w:szCs w:val="20"/>
        </w:rPr>
        <w:t xml:space="preserve"> vegetais</w:t>
      </w:r>
      <w:r>
        <w:rPr>
          <w:rFonts w:ascii="Times New Roman" w:hAnsi="Times New Roman" w:cs="Times New Roman"/>
          <w:b/>
          <w:sz w:val="20"/>
          <w:szCs w:val="20"/>
        </w:rPr>
        <w:t xml:space="preserve">, </w:t>
      </w:r>
      <w:r>
        <w:rPr>
          <w:rFonts w:ascii="Times New Roman" w:hAnsi="Times New Roman" w:cs="Times New Roman"/>
          <w:sz w:val="20"/>
          <w:szCs w:val="20"/>
        </w:rPr>
        <w:t>dentre elas o pau-ferro (</w:t>
      </w:r>
      <w:proofErr w:type="spellStart"/>
      <w:r w:rsidRPr="00F42ACB">
        <w:rPr>
          <w:rFonts w:ascii="Times New Roman" w:hAnsi="Times New Roman" w:cs="Times New Roman"/>
          <w:i/>
          <w:sz w:val="20"/>
          <w:szCs w:val="20"/>
        </w:rPr>
        <w:t>Luetzelburgia</w:t>
      </w:r>
      <w:proofErr w:type="spellEnd"/>
      <w:r w:rsidR="00D46D5F">
        <w:rPr>
          <w:rFonts w:ascii="Times New Roman" w:hAnsi="Times New Roman" w:cs="Times New Roman"/>
          <w:i/>
          <w:sz w:val="20"/>
          <w:szCs w:val="20"/>
        </w:rPr>
        <w:t xml:space="preserve"> </w:t>
      </w:r>
      <w:proofErr w:type="spellStart"/>
      <w:r w:rsidRPr="00F42ACB">
        <w:rPr>
          <w:rFonts w:ascii="Times New Roman" w:hAnsi="Times New Roman" w:cs="Times New Roman"/>
          <w:i/>
          <w:sz w:val="20"/>
          <w:szCs w:val="20"/>
        </w:rPr>
        <w:t>auriculata</w:t>
      </w:r>
      <w:proofErr w:type="spellEnd"/>
      <w:r w:rsidRPr="00F42ACB">
        <w:rPr>
          <w:rFonts w:ascii="Times New Roman" w:hAnsi="Times New Roman" w:cs="Times New Roman"/>
          <w:sz w:val="20"/>
          <w:szCs w:val="20"/>
        </w:rPr>
        <w:t xml:space="preserve"> (</w:t>
      </w:r>
      <w:proofErr w:type="spellStart"/>
      <w:r w:rsidRPr="00F42ACB">
        <w:rPr>
          <w:rFonts w:ascii="Times New Roman" w:hAnsi="Times New Roman" w:cs="Times New Roman"/>
          <w:sz w:val="20"/>
          <w:szCs w:val="20"/>
        </w:rPr>
        <w:t>Allemao</w:t>
      </w:r>
      <w:proofErr w:type="spellEnd"/>
      <w:r w:rsidRPr="00F42ACB">
        <w:rPr>
          <w:rFonts w:ascii="Times New Roman" w:hAnsi="Times New Roman" w:cs="Times New Roman"/>
          <w:sz w:val="20"/>
          <w:szCs w:val="20"/>
        </w:rPr>
        <w:t xml:space="preserve">) </w:t>
      </w:r>
      <w:proofErr w:type="spellStart"/>
      <w:r w:rsidRPr="00F42ACB">
        <w:rPr>
          <w:rFonts w:ascii="Times New Roman" w:hAnsi="Times New Roman" w:cs="Times New Roman"/>
          <w:sz w:val="20"/>
          <w:szCs w:val="20"/>
        </w:rPr>
        <w:t>Ducke</w:t>
      </w:r>
      <w:proofErr w:type="spellEnd"/>
      <w:r>
        <w:rPr>
          <w:rFonts w:ascii="Times New Roman" w:hAnsi="Times New Roman" w:cs="Times New Roman"/>
          <w:b/>
          <w:sz w:val="20"/>
          <w:szCs w:val="20"/>
        </w:rPr>
        <w:t>.</w:t>
      </w:r>
      <w:r w:rsidRPr="00F42ACB">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00D46D5F">
        <w:rPr>
          <w:rFonts w:ascii="Times New Roman" w:hAnsi="Times New Roman" w:cs="Times New Roman"/>
          <w:sz w:val="20"/>
          <w:szCs w:val="20"/>
        </w:rPr>
        <w:t>é</w:t>
      </w:r>
      <w:proofErr w:type="gramEnd"/>
      <w:r>
        <w:rPr>
          <w:rFonts w:ascii="Times New Roman" w:hAnsi="Times New Roman" w:cs="Times New Roman"/>
          <w:sz w:val="20"/>
          <w:szCs w:val="20"/>
        </w:rPr>
        <w:t xml:space="preserve"> uma das espécies predominantes no bioma, desempenhando papel fundamental para o ecossistema local. Este trabalho objetivou descrever as características biométricas de frutos e sementes de </w:t>
      </w:r>
      <w:r w:rsidRPr="0007058B">
        <w:rPr>
          <w:rFonts w:ascii="Times New Roman" w:hAnsi="Times New Roman" w:cs="Times New Roman"/>
          <w:sz w:val="20"/>
          <w:szCs w:val="20"/>
        </w:rPr>
        <w:t>Pau de Pedra.</w:t>
      </w:r>
      <w:r>
        <w:rPr>
          <w:rFonts w:ascii="Times New Roman" w:hAnsi="Times New Roman" w:cs="Times New Roman"/>
          <w:sz w:val="20"/>
          <w:szCs w:val="20"/>
        </w:rPr>
        <w:t xml:space="preserve"> Para a descrição das características da semente</w:t>
      </w:r>
      <w:r w:rsidR="00D46D5F">
        <w:rPr>
          <w:rFonts w:ascii="Times New Roman" w:hAnsi="Times New Roman" w:cs="Times New Roman"/>
          <w:sz w:val="20"/>
          <w:szCs w:val="20"/>
        </w:rPr>
        <w:t xml:space="preserve"> </w:t>
      </w:r>
      <w:proofErr w:type="spellStart"/>
      <w:r w:rsidRPr="00D46D5F">
        <w:rPr>
          <w:rStyle w:val="Forte"/>
          <w:rFonts w:ascii="Times New Roman" w:eastAsia="Times New Roman" w:hAnsi="Times New Roman" w:cs="Times New Roman"/>
          <w:i/>
          <w:iCs/>
          <w:sz w:val="20"/>
          <w:szCs w:val="20"/>
        </w:rPr>
        <w:t>Luetzelburgia</w:t>
      </w:r>
      <w:proofErr w:type="spellEnd"/>
      <w:r w:rsidRPr="00D46D5F">
        <w:rPr>
          <w:rStyle w:val="Forte"/>
          <w:rFonts w:ascii="Times New Roman" w:eastAsia="Times New Roman" w:hAnsi="Times New Roman" w:cs="Times New Roman"/>
          <w:i/>
          <w:iCs/>
          <w:sz w:val="20"/>
          <w:szCs w:val="20"/>
        </w:rPr>
        <w:t xml:space="preserve"> </w:t>
      </w:r>
      <w:proofErr w:type="spellStart"/>
      <w:r w:rsidRPr="00D46D5F">
        <w:rPr>
          <w:rStyle w:val="Forte"/>
          <w:rFonts w:ascii="Times New Roman" w:eastAsia="Times New Roman" w:hAnsi="Times New Roman" w:cs="Times New Roman"/>
          <w:i/>
          <w:iCs/>
          <w:sz w:val="20"/>
          <w:szCs w:val="20"/>
        </w:rPr>
        <w:t>auriculata</w:t>
      </w:r>
      <w:proofErr w:type="spellEnd"/>
      <w:r w:rsidRPr="00D46D5F">
        <w:rPr>
          <w:rStyle w:val="Forte"/>
          <w:rFonts w:ascii="Times New Roman" w:eastAsia="Times New Roman" w:hAnsi="Times New Roman" w:cs="Times New Roman"/>
          <w:i/>
          <w:sz w:val="20"/>
          <w:szCs w:val="20"/>
        </w:rPr>
        <w:t xml:space="preserve"> (</w:t>
      </w:r>
      <w:proofErr w:type="spellStart"/>
      <w:r w:rsidRPr="00D46D5F">
        <w:rPr>
          <w:rStyle w:val="Forte"/>
          <w:rFonts w:ascii="Times New Roman" w:eastAsia="Times New Roman" w:hAnsi="Times New Roman" w:cs="Times New Roman"/>
          <w:i/>
          <w:sz w:val="20"/>
          <w:szCs w:val="20"/>
        </w:rPr>
        <w:t>Allemão</w:t>
      </w:r>
      <w:proofErr w:type="spellEnd"/>
      <w:r w:rsidRPr="00D46D5F">
        <w:rPr>
          <w:rStyle w:val="Forte"/>
          <w:rFonts w:ascii="Times New Roman" w:eastAsia="Times New Roman" w:hAnsi="Times New Roman" w:cs="Times New Roman"/>
          <w:i/>
          <w:sz w:val="20"/>
          <w:szCs w:val="20"/>
        </w:rPr>
        <w:t xml:space="preserve">) </w:t>
      </w:r>
      <w:proofErr w:type="spellStart"/>
      <w:r w:rsidRPr="00D46D5F">
        <w:rPr>
          <w:rStyle w:val="Forte"/>
          <w:rFonts w:ascii="Times New Roman" w:eastAsia="Times New Roman" w:hAnsi="Times New Roman" w:cs="Times New Roman"/>
          <w:i/>
          <w:sz w:val="20"/>
          <w:szCs w:val="20"/>
        </w:rPr>
        <w:t>Duck</w:t>
      </w:r>
      <w:r w:rsidRPr="006A1AD2">
        <w:rPr>
          <w:rStyle w:val="Forte"/>
          <w:rFonts w:ascii="Times New Roman" w:eastAsia="Times New Roman" w:hAnsi="Times New Roman" w:cs="Times New Roman"/>
          <w:sz w:val="20"/>
          <w:szCs w:val="20"/>
        </w:rPr>
        <w:t>e</w:t>
      </w:r>
      <w:proofErr w:type="spellEnd"/>
      <w:r>
        <w:rPr>
          <w:rFonts w:ascii="Times New Roman" w:hAnsi="Times New Roman" w:cs="Times New Roman"/>
          <w:sz w:val="20"/>
          <w:szCs w:val="20"/>
        </w:rPr>
        <w:t xml:space="preserve"> foram coletadas 200 frutos e 200 sementes de plantas nativas do município de Santa Helena-PB para a realização da biometria e a massa da semente. Em seguida os mesmos foram acondicionados em sacos plásticos e devidamente identificados e levados para o</w:t>
      </w:r>
      <w:r w:rsidR="00D46D5F">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LABNUT/UFCG, onde prosseguiram as devidas aferições biométricas.</w:t>
      </w:r>
      <w:r w:rsidR="00D46D5F">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 xml:space="preserve">O fruto foi analisado pelo o seu comprimento, a espessura superior, mediana e inferior; largura superior, mediana e inferior. A semente, foram analisados o comprimento, a espessura e a largura. </w:t>
      </w:r>
      <w:r w:rsidRPr="007E363E">
        <w:rPr>
          <w:rFonts w:ascii="Times New Roman" w:hAnsi="Times New Roman" w:cs="Times New Roman"/>
          <w:sz w:val="20"/>
          <w:szCs w:val="20"/>
        </w:rPr>
        <w:t xml:space="preserve">Verificou-se que o comprimento dos frutos variou de 50,7 a 98,2 cm, a </w:t>
      </w:r>
      <w:r w:rsidRPr="007E363E">
        <w:rPr>
          <w:rFonts w:ascii="Times New Roman" w:hAnsi="Times New Roman" w:cs="Times New Roman"/>
          <w:bCs/>
          <w:iCs/>
          <w:sz w:val="20"/>
          <w:szCs w:val="20"/>
        </w:rPr>
        <w:t>espessura com 6,00</w:t>
      </w:r>
      <w:r w:rsidRPr="007E363E">
        <w:rPr>
          <w:rFonts w:ascii="Times New Roman" w:eastAsia="Calibri" w:hAnsi="Times New Roman" w:cs="Times New Roman"/>
          <w:bCs/>
          <w:iCs/>
          <w:sz w:val="20"/>
          <w:szCs w:val="20"/>
        </w:rPr>
        <w:t xml:space="preserve"> a </w:t>
      </w:r>
      <w:r w:rsidRPr="007E363E">
        <w:rPr>
          <w:rFonts w:ascii="Times New Roman" w:hAnsi="Times New Roman" w:cs="Times New Roman"/>
          <w:bCs/>
          <w:iCs/>
          <w:sz w:val="20"/>
          <w:szCs w:val="20"/>
        </w:rPr>
        <w:t>17</w:t>
      </w:r>
      <w:r w:rsidRPr="007E363E">
        <w:rPr>
          <w:rFonts w:ascii="Times New Roman" w:eastAsia="Calibri" w:hAnsi="Times New Roman" w:cs="Times New Roman"/>
          <w:bCs/>
          <w:iCs/>
          <w:sz w:val="20"/>
          <w:szCs w:val="20"/>
        </w:rPr>
        <w:t xml:space="preserve"> mm e </w:t>
      </w:r>
      <w:r w:rsidRPr="007E363E">
        <w:rPr>
          <w:rFonts w:ascii="Times New Roman" w:hAnsi="Times New Roman"/>
          <w:bCs/>
          <w:iCs/>
          <w:sz w:val="20"/>
          <w:szCs w:val="20"/>
        </w:rPr>
        <w:t xml:space="preserve">largura variando de 12,4 a 21,8 mm. Em relação às sementes, 46% se enquadraram na classe de comprimento com </w:t>
      </w:r>
      <w:r w:rsidRPr="007E363E">
        <w:rPr>
          <w:rFonts w:ascii="Times New Roman" w:hAnsi="Times New Roman" w:cs="Times New Roman"/>
          <w:sz w:val="20"/>
          <w:szCs w:val="20"/>
        </w:rPr>
        <w:t xml:space="preserve">intervalo de 19,9 a 20,8 mm. A partir das avaliações conclui-se que a espécie </w:t>
      </w:r>
      <w:proofErr w:type="spellStart"/>
      <w:r w:rsidRPr="007E363E">
        <w:rPr>
          <w:rFonts w:ascii="Times New Roman" w:hAnsi="Times New Roman" w:cs="Times New Roman"/>
          <w:i/>
          <w:sz w:val="20"/>
          <w:szCs w:val="20"/>
          <w:shd w:val="clear" w:color="auto" w:fill="FFFFFF"/>
        </w:rPr>
        <w:t>Luetzelburgia</w:t>
      </w:r>
      <w:proofErr w:type="spellEnd"/>
      <w:r w:rsidR="00D46D5F">
        <w:rPr>
          <w:rFonts w:ascii="Times New Roman" w:hAnsi="Times New Roman" w:cs="Times New Roman"/>
          <w:i/>
          <w:sz w:val="20"/>
          <w:szCs w:val="20"/>
          <w:shd w:val="clear" w:color="auto" w:fill="FFFFFF"/>
        </w:rPr>
        <w:t xml:space="preserve"> </w:t>
      </w:r>
      <w:proofErr w:type="spellStart"/>
      <w:r w:rsidRPr="007E363E">
        <w:rPr>
          <w:rFonts w:ascii="Times New Roman" w:hAnsi="Times New Roman" w:cs="Times New Roman"/>
          <w:i/>
          <w:sz w:val="20"/>
          <w:szCs w:val="20"/>
          <w:shd w:val="clear" w:color="auto" w:fill="FFFFFF"/>
        </w:rPr>
        <w:t>auriculata</w:t>
      </w:r>
      <w:proofErr w:type="spellEnd"/>
      <w:r w:rsidRPr="007E363E">
        <w:rPr>
          <w:rFonts w:ascii="Times New Roman" w:hAnsi="Times New Roman" w:cs="Times New Roman"/>
          <w:sz w:val="20"/>
          <w:szCs w:val="20"/>
          <w:shd w:val="clear" w:color="auto" w:fill="FFFFFF"/>
        </w:rPr>
        <w:t xml:space="preserve"> apresentam variabilidade nas características b</w:t>
      </w:r>
      <w:r>
        <w:rPr>
          <w:rFonts w:ascii="Times New Roman" w:hAnsi="Times New Roman" w:cs="Times New Roman"/>
          <w:sz w:val="20"/>
          <w:szCs w:val="20"/>
          <w:shd w:val="clear" w:color="auto" w:fill="FFFFFF"/>
        </w:rPr>
        <w:t>iométricas de frutos e sementes, sendo que a descrição morfológica do fruto e da semente, constitui na importância do reconhecimento da espécie.</w:t>
      </w:r>
    </w:p>
    <w:p w:rsidR="00F45860" w:rsidRDefault="00F45860" w:rsidP="00F45860">
      <w:pPr>
        <w:rPr>
          <w:rFonts w:ascii="Times New Roman" w:hAnsi="Times New Roman" w:cs="Times New Roman"/>
        </w:rPr>
      </w:pPr>
    </w:p>
    <w:p w:rsidR="00F45860" w:rsidRDefault="00F45860" w:rsidP="00F45860">
      <w:pPr>
        <w:spacing w:after="0"/>
        <w:ind w:right="566"/>
        <w:jc w:val="both"/>
        <w:rPr>
          <w:rFonts w:ascii="Times New Roman" w:hAnsi="Times New Roman" w:cs="Times New Roman"/>
          <w:sz w:val="20"/>
          <w:szCs w:val="20"/>
        </w:rPr>
      </w:pPr>
      <w:proofErr w:type="spellStart"/>
      <w:r w:rsidRPr="00FF1D1C">
        <w:rPr>
          <w:rFonts w:ascii="Times New Roman" w:hAnsi="Times New Roman" w:cs="Times New Roman"/>
          <w:b/>
          <w:sz w:val="20"/>
          <w:szCs w:val="20"/>
        </w:rPr>
        <w:t>Palavras-</w:t>
      </w:r>
      <w:proofErr w:type="gramStart"/>
      <w:r w:rsidRPr="00FF1D1C">
        <w:rPr>
          <w:rFonts w:ascii="Times New Roman" w:hAnsi="Times New Roman" w:cs="Times New Roman"/>
          <w:b/>
          <w:sz w:val="20"/>
          <w:szCs w:val="20"/>
        </w:rPr>
        <w:t>chave:</w:t>
      </w:r>
      <w:r w:rsidRPr="00A27872">
        <w:rPr>
          <w:rStyle w:val="Forte"/>
          <w:rFonts w:ascii="Times New Roman" w:eastAsia="Times New Roman" w:hAnsi="Times New Roman" w:cs="Times New Roman"/>
          <w:iCs/>
          <w:sz w:val="20"/>
          <w:szCs w:val="20"/>
        </w:rPr>
        <w:t>Pau</w:t>
      </w:r>
      <w:proofErr w:type="gramEnd"/>
      <w:r w:rsidRPr="00A27872">
        <w:rPr>
          <w:rStyle w:val="Forte"/>
          <w:rFonts w:ascii="Times New Roman" w:eastAsia="Times New Roman" w:hAnsi="Times New Roman" w:cs="Times New Roman"/>
          <w:iCs/>
          <w:sz w:val="20"/>
          <w:szCs w:val="20"/>
        </w:rPr>
        <w:t>-ferro</w:t>
      </w:r>
      <w:proofErr w:type="spellEnd"/>
      <w:r>
        <w:rPr>
          <w:rStyle w:val="Forte"/>
          <w:rFonts w:ascii="Times New Roman" w:eastAsia="Times New Roman" w:hAnsi="Times New Roman" w:cs="Times New Roman"/>
          <w:i/>
          <w:iCs/>
          <w:sz w:val="20"/>
          <w:szCs w:val="20"/>
        </w:rPr>
        <w:t xml:space="preserve">, </w:t>
      </w:r>
      <w:r w:rsidRPr="009E710D">
        <w:rPr>
          <w:rFonts w:ascii="Times New Roman" w:hAnsi="Times New Roman" w:cs="Times New Roman"/>
          <w:sz w:val="20"/>
          <w:szCs w:val="20"/>
        </w:rPr>
        <w:t>tamanho de frutos, espécie florestal</w:t>
      </w:r>
      <w:r>
        <w:rPr>
          <w:rFonts w:ascii="Times New Roman" w:hAnsi="Times New Roman" w:cs="Times New Roman"/>
          <w:sz w:val="20"/>
          <w:szCs w:val="20"/>
        </w:rPr>
        <w:t xml:space="preserve">, Caatinga. </w:t>
      </w:r>
    </w:p>
    <w:p w:rsidR="00F45860" w:rsidRDefault="00F45860" w:rsidP="00F45860">
      <w:pPr>
        <w:spacing w:after="0"/>
        <w:ind w:right="566"/>
        <w:jc w:val="both"/>
        <w:rPr>
          <w:rFonts w:ascii="Times New Roman" w:hAnsi="Times New Roman" w:cs="Times New Roman"/>
          <w:sz w:val="20"/>
          <w:szCs w:val="20"/>
        </w:rPr>
      </w:pPr>
    </w:p>
    <w:p w:rsidR="00D46D5F" w:rsidRPr="00D46D5F" w:rsidRDefault="00D46D5F" w:rsidP="00D46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pt-BR"/>
        </w:rPr>
      </w:pPr>
      <w:r w:rsidRPr="00D46D5F">
        <w:rPr>
          <w:rFonts w:ascii="inherit" w:eastAsia="Times New Roman" w:hAnsi="inherit" w:cs="Courier New"/>
          <w:b/>
          <w:color w:val="212121"/>
          <w:sz w:val="20"/>
          <w:szCs w:val="20"/>
          <w:lang w:val="en" w:eastAsia="pt-BR"/>
        </w:rPr>
        <w:t>Abstract:</w:t>
      </w:r>
      <w:r>
        <w:rPr>
          <w:rFonts w:ascii="inherit" w:eastAsia="Times New Roman" w:hAnsi="inherit" w:cs="Courier New"/>
          <w:b/>
          <w:color w:val="212121"/>
          <w:sz w:val="20"/>
          <w:szCs w:val="20"/>
          <w:lang w:val="en" w:eastAsia="pt-BR"/>
        </w:rPr>
        <w:t xml:space="preserve"> </w:t>
      </w:r>
      <w:r w:rsidRPr="00D46D5F">
        <w:rPr>
          <w:rFonts w:ascii="inherit" w:eastAsia="Times New Roman" w:hAnsi="inherit" w:cs="Courier New"/>
          <w:color w:val="212121"/>
          <w:sz w:val="20"/>
          <w:szCs w:val="20"/>
          <w:lang w:val="en" w:eastAsia="pt-BR"/>
        </w:rPr>
        <w:t xml:space="preserve">The </w:t>
      </w:r>
      <w:proofErr w:type="spellStart"/>
      <w:r w:rsidRPr="00D46D5F">
        <w:rPr>
          <w:rFonts w:ascii="inherit" w:eastAsia="Times New Roman" w:hAnsi="inherit" w:cs="Courier New"/>
          <w:color w:val="212121"/>
          <w:sz w:val="20"/>
          <w:szCs w:val="20"/>
          <w:lang w:val="en" w:eastAsia="pt-BR"/>
        </w:rPr>
        <w:t>Caatinga</w:t>
      </w:r>
      <w:proofErr w:type="spellEnd"/>
      <w:r w:rsidRPr="00D46D5F">
        <w:rPr>
          <w:rFonts w:ascii="inherit" w:eastAsia="Times New Roman" w:hAnsi="inherit" w:cs="Courier New"/>
          <w:color w:val="212121"/>
          <w:sz w:val="20"/>
          <w:szCs w:val="20"/>
          <w:lang w:val="en" w:eastAsia="pt-BR"/>
        </w:rPr>
        <w:t xml:space="preserve"> presents a great diversity of plant species, among them the woodpecker (</w:t>
      </w:r>
      <w:proofErr w:type="spellStart"/>
      <w:r w:rsidRPr="00D46D5F">
        <w:rPr>
          <w:rFonts w:ascii="inherit" w:eastAsia="Times New Roman" w:hAnsi="inherit" w:cs="Courier New"/>
          <w:color w:val="212121"/>
          <w:sz w:val="20"/>
          <w:szCs w:val="20"/>
          <w:lang w:val="en" w:eastAsia="pt-BR"/>
        </w:rPr>
        <w:t>Luetzelburgia</w:t>
      </w:r>
      <w:proofErr w:type="spellEnd"/>
      <w:r w:rsidRPr="00D46D5F">
        <w:rPr>
          <w:rFonts w:ascii="inherit" w:eastAsia="Times New Roman" w:hAnsi="inherit" w:cs="Courier New"/>
          <w:color w:val="212121"/>
          <w:sz w:val="20"/>
          <w:szCs w:val="20"/>
          <w:lang w:val="en" w:eastAsia="pt-BR"/>
        </w:rPr>
        <w:t xml:space="preserve"> </w:t>
      </w:r>
      <w:proofErr w:type="spellStart"/>
      <w:r w:rsidRPr="00D46D5F">
        <w:rPr>
          <w:rFonts w:ascii="inherit" w:eastAsia="Times New Roman" w:hAnsi="inherit" w:cs="Courier New"/>
          <w:color w:val="212121"/>
          <w:sz w:val="20"/>
          <w:szCs w:val="20"/>
          <w:lang w:val="en" w:eastAsia="pt-BR"/>
        </w:rPr>
        <w:t>auriculata</w:t>
      </w:r>
      <w:proofErr w:type="spellEnd"/>
      <w:r w:rsidRPr="00D46D5F">
        <w:rPr>
          <w:rFonts w:ascii="inherit" w:eastAsia="Times New Roman" w:hAnsi="inherit" w:cs="Courier New"/>
          <w:color w:val="212121"/>
          <w:sz w:val="20"/>
          <w:szCs w:val="20"/>
          <w:lang w:val="en" w:eastAsia="pt-BR"/>
        </w:rPr>
        <w:t xml:space="preserve"> (</w:t>
      </w:r>
      <w:proofErr w:type="spellStart"/>
      <w:r w:rsidRPr="00D46D5F">
        <w:rPr>
          <w:rFonts w:ascii="inherit" w:eastAsia="Times New Roman" w:hAnsi="inherit" w:cs="Courier New"/>
          <w:color w:val="212121"/>
          <w:sz w:val="20"/>
          <w:szCs w:val="20"/>
          <w:lang w:val="en" w:eastAsia="pt-BR"/>
        </w:rPr>
        <w:t>Allemao</w:t>
      </w:r>
      <w:proofErr w:type="spellEnd"/>
      <w:r w:rsidRPr="00D46D5F">
        <w:rPr>
          <w:rFonts w:ascii="inherit" w:eastAsia="Times New Roman" w:hAnsi="inherit" w:cs="Courier New"/>
          <w:color w:val="212121"/>
          <w:sz w:val="20"/>
          <w:szCs w:val="20"/>
          <w:lang w:val="en" w:eastAsia="pt-BR"/>
        </w:rPr>
        <w:t xml:space="preserve">) </w:t>
      </w:r>
      <w:proofErr w:type="spellStart"/>
      <w:r w:rsidRPr="00D46D5F">
        <w:rPr>
          <w:rFonts w:ascii="inherit" w:eastAsia="Times New Roman" w:hAnsi="inherit" w:cs="Courier New"/>
          <w:color w:val="212121"/>
          <w:sz w:val="20"/>
          <w:szCs w:val="20"/>
          <w:lang w:val="en" w:eastAsia="pt-BR"/>
        </w:rPr>
        <w:t>Ducke</w:t>
      </w:r>
      <w:proofErr w:type="spellEnd"/>
      <w:r w:rsidRPr="00D46D5F">
        <w:rPr>
          <w:rFonts w:ascii="inherit" w:eastAsia="Times New Roman" w:hAnsi="inherit" w:cs="Courier New"/>
          <w:color w:val="212121"/>
          <w:sz w:val="20"/>
          <w:szCs w:val="20"/>
          <w:lang w:val="en" w:eastAsia="pt-BR"/>
        </w:rPr>
        <w:t>.) Is one of the predominant species in the biome, playing a fundament</w:t>
      </w:r>
      <w:r>
        <w:rPr>
          <w:rFonts w:ascii="inherit" w:eastAsia="Times New Roman" w:hAnsi="inherit" w:cs="Courier New"/>
          <w:color w:val="212121"/>
          <w:sz w:val="20"/>
          <w:szCs w:val="20"/>
          <w:lang w:val="en" w:eastAsia="pt-BR"/>
        </w:rPr>
        <w:t xml:space="preserve"> </w:t>
      </w:r>
      <w:r w:rsidRPr="00D46D5F">
        <w:rPr>
          <w:rFonts w:ascii="inherit" w:eastAsia="Times New Roman" w:hAnsi="inherit" w:cs="Courier New"/>
          <w:color w:val="212121"/>
          <w:sz w:val="20"/>
          <w:szCs w:val="20"/>
          <w:lang w:val="en" w:eastAsia="pt-BR"/>
        </w:rPr>
        <w:t xml:space="preserve">al role for the local ecosystem. This work aimed to describe the biometric characteristics of fruits and seeds of Pau de </w:t>
      </w:r>
      <w:proofErr w:type="spellStart"/>
      <w:r w:rsidRPr="00D46D5F">
        <w:rPr>
          <w:rFonts w:ascii="inherit" w:eastAsia="Times New Roman" w:hAnsi="inherit" w:cs="Courier New"/>
          <w:color w:val="212121"/>
          <w:sz w:val="20"/>
          <w:szCs w:val="20"/>
          <w:lang w:val="en" w:eastAsia="pt-BR"/>
        </w:rPr>
        <w:t>Pedra</w:t>
      </w:r>
      <w:proofErr w:type="spellEnd"/>
      <w:r w:rsidRPr="00D46D5F">
        <w:rPr>
          <w:rFonts w:ascii="inherit" w:eastAsia="Times New Roman" w:hAnsi="inherit" w:cs="Courier New"/>
          <w:color w:val="212121"/>
          <w:sz w:val="20"/>
          <w:szCs w:val="20"/>
          <w:lang w:val="en" w:eastAsia="pt-BR"/>
        </w:rPr>
        <w:t xml:space="preserve">. For the description of the characteristics of the </w:t>
      </w:r>
      <w:proofErr w:type="spellStart"/>
      <w:r w:rsidRPr="00D46D5F">
        <w:rPr>
          <w:rFonts w:ascii="inherit" w:eastAsia="Times New Roman" w:hAnsi="inherit" w:cs="Courier New"/>
          <w:color w:val="212121"/>
          <w:sz w:val="20"/>
          <w:szCs w:val="20"/>
          <w:lang w:val="en" w:eastAsia="pt-BR"/>
        </w:rPr>
        <w:t>Luetzelburgia</w:t>
      </w:r>
      <w:proofErr w:type="spellEnd"/>
      <w:r w:rsidRPr="00D46D5F">
        <w:rPr>
          <w:rFonts w:ascii="inherit" w:eastAsia="Times New Roman" w:hAnsi="inherit" w:cs="Courier New"/>
          <w:color w:val="212121"/>
          <w:sz w:val="20"/>
          <w:szCs w:val="20"/>
          <w:lang w:val="en" w:eastAsia="pt-BR"/>
        </w:rPr>
        <w:t xml:space="preserve"> </w:t>
      </w:r>
      <w:proofErr w:type="spellStart"/>
      <w:r w:rsidRPr="00D46D5F">
        <w:rPr>
          <w:rFonts w:ascii="inherit" w:eastAsia="Times New Roman" w:hAnsi="inherit" w:cs="Courier New"/>
          <w:color w:val="212121"/>
          <w:sz w:val="20"/>
          <w:szCs w:val="20"/>
          <w:lang w:val="en" w:eastAsia="pt-BR"/>
        </w:rPr>
        <w:t>auriculata</w:t>
      </w:r>
      <w:proofErr w:type="spellEnd"/>
      <w:r w:rsidRPr="00D46D5F">
        <w:rPr>
          <w:rFonts w:ascii="inherit" w:eastAsia="Times New Roman" w:hAnsi="inherit" w:cs="Courier New"/>
          <w:color w:val="212121"/>
          <w:sz w:val="20"/>
          <w:szCs w:val="20"/>
          <w:lang w:val="en" w:eastAsia="pt-BR"/>
        </w:rPr>
        <w:t xml:space="preserve"> (</w:t>
      </w:r>
      <w:proofErr w:type="spellStart"/>
      <w:r w:rsidRPr="00D46D5F">
        <w:rPr>
          <w:rFonts w:ascii="inherit" w:eastAsia="Times New Roman" w:hAnsi="inherit" w:cs="Courier New"/>
          <w:color w:val="212121"/>
          <w:sz w:val="20"/>
          <w:szCs w:val="20"/>
          <w:lang w:val="en" w:eastAsia="pt-BR"/>
        </w:rPr>
        <w:t>Allemão</w:t>
      </w:r>
      <w:proofErr w:type="spellEnd"/>
      <w:r w:rsidRPr="00D46D5F">
        <w:rPr>
          <w:rFonts w:ascii="inherit" w:eastAsia="Times New Roman" w:hAnsi="inherit" w:cs="Courier New"/>
          <w:color w:val="212121"/>
          <w:sz w:val="20"/>
          <w:szCs w:val="20"/>
          <w:lang w:val="en" w:eastAsia="pt-BR"/>
        </w:rPr>
        <w:t xml:space="preserve">) </w:t>
      </w:r>
      <w:proofErr w:type="spellStart"/>
      <w:r w:rsidRPr="00D46D5F">
        <w:rPr>
          <w:rFonts w:ascii="inherit" w:eastAsia="Times New Roman" w:hAnsi="inherit" w:cs="Courier New"/>
          <w:color w:val="212121"/>
          <w:sz w:val="20"/>
          <w:szCs w:val="20"/>
          <w:lang w:val="en" w:eastAsia="pt-BR"/>
        </w:rPr>
        <w:t>Ducke</w:t>
      </w:r>
      <w:proofErr w:type="spellEnd"/>
      <w:r w:rsidRPr="00D46D5F">
        <w:rPr>
          <w:rFonts w:ascii="inherit" w:eastAsia="Times New Roman" w:hAnsi="inherit" w:cs="Courier New"/>
          <w:color w:val="212121"/>
          <w:sz w:val="20"/>
          <w:szCs w:val="20"/>
          <w:lang w:val="en" w:eastAsia="pt-BR"/>
        </w:rPr>
        <w:t xml:space="preserve"> seed, 200 fruits and 200 seeds of native plants of the municipality of Santa Helena-PB </w:t>
      </w:r>
      <w:proofErr w:type="gramStart"/>
      <w:r w:rsidRPr="00D46D5F">
        <w:rPr>
          <w:rFonts w:ascii="inherit" w:eastAsia="Times New Roman" w:hAnsi="inherit" w:cs="Courier New"/>
          <w:color w:val="212121"/>
          <w:sz w:val="20"/>
          <w:szCs w:val="20"/>
          <w:lang w:val="en" w:eastAsia="pt-BR"/>
        </w:rPr>
        <w:t>were collected</w:t>
      </w:r>
      <w:proofErr w:type="gramEnd"/>
      <w:r w:rsidRPr="00D46D5F">
        <w:rPr>
          <w:rFonts w:ascii="inherit" w:eastAsia="Times New Roman" w:hAnsi="inherit" w:cs="Courier New"/>
          <w:color w:val="212121"/>
          <w:sz w:val="20"/>
          <w:szCs w:val="20"/>
          <w:lang w:val="en" w:eastAsia="pt-BR"/>
        </w:rPr>
        <w:t xml:space="preserve"> for biometry and seed mass. Afterwards they </w:t>
      </w:r>
      <w:proofErr w:type="gramStart"/>
      <w:r w:rsidRPr="00D46D5F">
        <w:rPr>
          <w:rFonts w:ascii="inherit" w:eastAsia="Times New Roman" w:hAnsi="inherit" w:cs="Courier New"/>
          <w:color w:val="212121"/>
          <w:sz w:val="20"/>
          <w:szCs w:val="20"/>
          <w:lang w:val="en" w:eastAsia="pt-BR"/>
        </w:rPr>
        <w:t>were packed in plastic bags and properly identified and taken to LABNUT / UFCG, where the biometric measurements were continued</w:t>
      </w:r>
      <w:proofErr w:type="gramEnd"/>
      <w:r w:rsidRPr="00D46D5F">
        <w:rPr>
          <w:rFonts w:ascii="inherit" w:eastAsia="Times New Roman" w:hAnsi="inherit" w:cs="Courier New"/>
          <w:color w:val="212121"/>
          <w:sz w:val="20"/>
          <w:szCs w:val="20"/>
          <w:lang w:val="en" w:eastAsia="pt-BR"/>
        </w:rPr>
        <w:t>. The fruit was analyzed for its length, the upper, median and inferior thickness</w:t>
      </w:r>
      <w:proofErr w:type="gramStart"/>
      <w:r w:rsidRPr="00D46D5F">
        <w:rPr>
          <w:rFonts w:ascii="inherit" w:eastAsia="Times New Roman" w:hAnsi="inherit" w:cs="Courier New"/>
          <w:color w:val="212121"/>
          <w:sz w:val="20"/>
          <w:szCs w:val="20"/>
          <w:lang w:val="en" w:eastAsia="pt-BR"/>
        </w:rPr>
        <w:t>;</w:t>
      </w:r>
      <w:proofErr w:type="gramEnd"/>
      <w:r w:rsidRPr="00D46D5F">
        <w:rPr>
          <w:rFonts w:ascii="inherit" w:eastAsia="Times New Roman" w:hAnsi="inherit" w:cs="Courier New"/>
          <w:color w:val="212121"/>
          <w:sz w:val="20"/>
          <w:szCs w:val="20"/>
          <w:lang w:val="en" w:eastAsia="pt-BR"/>
        </w:rPr>
        <w:t xml:space="preserve"> Upper, median and lower width. The seed </w:t>
      </w:r>
      <w:proofErr w:type="gramStart"/>
      <w:r w:rsidRPr="00D46D5F">
        <w:rPr>
          <w:rFonts w:ascii="inherit" w:eastAsia="Times New Roman" w:hAnsi="inherit" w:cs="Courier New"/>
          <w:color w:val="212121"/>
          <w:sz w:val="20"/>
          <w:szCs w:val="20"/>
          <w:lang w:val="en" w:eastAsia="pt-BR"/>
        </w:rPr>
        <w:t>was analyzed</w:t>
      </w:r>
      <w:proofErr w:type="gramEnd"/>
      <w:r w:rsidRPr="00D46D5F">
        <w:rPr>
          <w:rFonts w:ascii="inherit" w:eastAsia="Times New Roman" w:hAnsi="inherit" w:cs="Courier New"/>
          <w:color w:val="212121"/>
          <w:sz w:val="20"/>
          <w:szCs w:val="20"/>
          <w:lang w:val="en" w:eastAsia="pt-BR"/>
        </w:rPr>
        <w:t xml:space="preserve"> for length, thickness and width. It was verified that the length of the fruits varied from 50.7 to 98.2 cm, the thickness with 6.00 to 17 mm and width ranging from 12.4 to 21.8 mm. </w:t>
      </w:r>
      <w:proofErr w:type="gramStart"/>
      <w:r w:rsidRPr="00D46D5F">
        <w:rPr>
          <w:rFonts w:ascii="inherit" w:eastAsia="Times New Roman" w:hAnsi="inherit" w:cs="Courier New"/>
          <w:color w:val="212121"/>
          <w:sz w:val="20"/>
          <w:szCs w:val="20"/>
          <w:lang w:val="en" w:eastAsia="pt-BR"/>
        </w:rPr>
        <w:t>Regarding</w:t>
      </w:r>
      <w:proofErr w:type="gramEnd"/>
      <w:r w:rsidRPr="00D46D5F">
        <w:rPr>
          <w:rFonts w:ascii="inherit" w:eastAsia="Times New Roman" w:hAnsi="inherit" w:cs="Courier New"/>
          <w:color w:val="212121"/>
          <w:sz w:val="20"/>
          <w:szCs w:val="20"/>
          <w:lang w:val="en" w:eastAsia="pt-BR"/>
        </w:rPr>
        <w:t xml:space="preserve"> the seeds, 46% were in the length class with a range of 19.9 to 20.8 mm. From the </w:t>
      </w:r>
      <w:proofErr w:type="gramStart"/>
      <w:r w:rsidRPr="00D46D5F">
        <w:rPr>
          <w:rFonts w:ascii="inherit" w:eastAsia="Times New Roman" w:hAnsi="inherit" w:cs="Courier New"/>
          <w:color w:val="212121"/>
          <w:sz w:val="20"/>
          <w:szCs w:val="20"/>
          <w:lang w:val="en" w:eastAsia="pt-BR"/>
        </w:rPr>
        <w:t>evaluations</w:t>
      </w:r>
      <w:proofErr w:type="gramEnd"/>
      <w:r w:rsidRPr="00D46D5F">
        <w:rPr>
          <w:rFonts w:ascii="inherit" w:eastAsia="Times New Roman" w:hAnsi="inherit" w:cs="Courier New"/>
          <w:color w:val="212121"/>
          <w:sz w:val="20"/>
          <w:szCs w:val="20"/>
          <w:lang w:val="en" w:eastAsia="pt-BR"/>
        </w:rPr>
        <w:t xml:space="preserve"> we conclude that the species </w:t>
      </w:r>
      <w:proofErr w:type="spellStart"/>
      <w:r w:rsidRPr="00D46D5F">
        <w:rPr>
          <w:rFonts w:ascii="inherit" w:eastAsia="Times New Roman" w:hAnsi="inherit" w:cs="Courier New"/>
          <w:color w:val="212121"/>
          <w:sz w:val="20"/>
          <w:szCs w:val="20"/>
          <w:lang w:val="en" w:eastAsia="pt-BR"/>
        </w:rPr>
        <w:t>Luetzelburgia</w:t>
      </w:r>
      <w:proofErr w:type="spellEnd"/>
      <w:r w:rsidRPr="00D46D5F">
        <w:rPr>
          <w:rFonts w:ascii="inherit" w:eastAsia="Times New Roman" w:hAnsi="inherit" w:cs="Courier New"/>
          <w:color w:val="212121"/>
          <w:sz w:val="20"/>
          <w:szCs w:val="20"/>
          <w:lang w:val="en" w:eastAsia="pt-BR"/>
        </w:rPr>
        <w:t xml:space="preserve"> </w:t>
      </w:r>
      <w:proofErr w:type="spellStart"/>
      <w:r w:rsidRPr="00D46D5F">
        <w:rPr>
          <w:rFonts w:ascii="inherit" w:eastAsia="Times New Roman" w:hAnsi="inherit" w:cs="Courier New"/>
          <w:color w:val="212121"/>
          <w:sz w:val="20"/>
          <w:szCs w:val="20"/>
          <w:lang w:val="en" w:eastAsia="pt-BR"/>
        </w:rPr>
        <w:t>auriculata</w:t>
      </w:r>
      <w:proofErr w:type="spellEnd"/>
      <w:r w:rsidRPr="00D46D5F">
        <w:rPr>
          <w:rFonts w:ascii="inherit" w:eastAsia="Times New Roman" w:hAnsi="inherit" w:cs="Courier New"/>
          <w:color w:val="212121"/>
          <w:sz w:val="20"/>
          <w:szCs w:val="20"/>
          <w:lang w:val="en" w:eastAsia="pt-BR"/>
        </w:rPr>
        <w:t xml:space="preserve"> present variability in the biometric characteristics of fruits and seeds, and the morphological description of the fruit and the seed constitutes the importance of the species recognition.</w:t>
      </w:r>
    </w:p>
    <w:p w:rsidR="00F45860" w:rsidRDefault="00F45860" w:rsidP="00D46D5F">
      <w:pPr>
        <w:spacing w:after="0"/>
        <w:ind w:right="566"/>
        <w:jc w:val="both"/>
        <w:rPr>
          <w:rFonts w:ascii="Times New Roman" w:hAnsi="Times New Roman" w:cs="Times New Roman"/>
          <w:sz w:val="20"/>
          <w:szCs w:val="20"/>
        </w:rPr>
      </w:pPr>
    </w:p>
    <w:p w:rsidR="00F45860" w:rsidRDefault="002B5C3E" w:rsidP="00D46D5F">
      <w:pPr>
        <w:spacing w:after="0"/>
        <w:ind w:right="566"/>
        <w:jc w:val="both"/>
        <w:rPr>
          <w:rFonts w:ascii="Times New Roman" w:hAnsi="Times New Roman" w:cs="Times New Roman"/>
          <w:sz w:val="20"/>
          <w:szCs w:val="20"/>
        </w:rPr>
      </w:pPr>
      <w:r w:rsidRPr="002B5C3E">
        <w:rPr>
          <w:rFonts w:ascii="Times New Roman" w:hAnsi="Times New Roman" w:cs="Times New Roman"/>
          <w:b/>
          <w:sz w:val="20"/>
          <w:szCs w:val="20"/>
        </w:rPr>
        <w:t xml:space="preserve">Key </w:t>
      </w:r>
      <w:proofErr w:type="spellStart"/>
      <w:r w:rsidRPr="002B5C3E">
        <w:rPr>
          <w:rFonts w:ascii="Times New Roman" w:hAnsi="Times New Roman" w:cs="Times New Roman"/>
          <w:b/>
          <w:sz w:val="20"/>
          <w:szCs w:val="20"/>
        </w:rPr>
        <w:t>words</w:t>
      </w:r>
      <w:proofErr w:type="spellEnd"/>
      <w:r w:rsidRPr="002B5C3E">
        <w:rPr>
          <w:rFonts w:ascii="Times New Roman" w:hAnsi="Times New Roman" w:cs="Times New Roman"/>
          <w:b/>
          <w:sz w:val="20"/>
          <w:szCs w:val="20"/>
        </w:rPr>
        <w:t>:</w:t>
      </w:r>
      <w:r>
        <w:rPr>
          <w:rFonts w:ascii="Times New Roman" w:hAnsi="Times New Roman" w:cs="Times New Roman"/>
          <w:sz w:val="20"/>
          <w:szCs w:val="20"/>
        </w:rPr>
        <w:t xml:space="preserve"> </w:t>
      </w:r>
      <w:proofErr w:type="spellStart"/>
      <w:r w:rsidRPr="002B5C3E">
        <w:rPr>
          <w:rFonts w:ascii="Times New Roman" w:hAnsi="Times New Roman" w:cs="Times New Roman"/>
          <w:sz w:val="20"/>
          <w:szCs w:val="20"/>
        </w:rPr>
        <w:t>Size</w:t>
      </w:r>
      <w:proofErr w:type="spellEnd"/>
      <w:r w:rsidRPr="002B5C3E">
        <w:rPr>
          <w:rFonts w:ascii="Times New Roman" w:hAnsi="Times New Roman" w:cs="Times New Roman"/>
          <w:sz w:val="20"/>
          <w:szCs w:val="20"/>
        </w:rPr>
        <w:t xml:space="preserve"> </w:t>
      </w:r>
      <w:proofErr w:type="spellStart"/>
      <w:r w:rsidRPr="002B5C3E">
        <w:rPr>
          <w:rFonts w:ascii="Times New Roman" w:hAnsi="Times New Roman" w:cs="Times New Roman"/>
          <w:sz w:val="20"/>
          <w:szCs w:val="20"/>
        </w:rPr>
        <w:t>of</w:t>
      </w:r>
      <w:proofErr w:type="spellEnd"/>
      <w:r w:rsidRPr="002B5C3E">
        <w:rPr>
          <w:rFonts w:ascii="Times New Roman" w:hAnsi="Times New Roman" w:cs="Times New Roman"/>
          <w:sz w:val="20"/>
          <w:szCs w:val="20"/>
        </w:rPr>
        <w:t xml:space="preserve"> </w:t>
      </w:r>
      <w:proofErr w:type="spellStart"/>
      <w:r w:rsidRPr="002B5C3E">
        <w:rPr>
          <w:rFonts w:ascii="Times New Roman" w:hAnsi="Times New Roman" w:cs="Times New Roman"/>
          <w:sz w:val="20"/>
          <w:szCs w:val="20"/>
        </w:rPr>
        <w:t>fruits</w:t>
      </w:r>
      <w:proofErr w:type="spellEnd"/>
      <w:r w:rsidRPr="002B5C3E">
        <w:rPr>
          <w:rFonts w:ascii="Times New Roman" w:hAnsi="Times New Roman" w:cs="Times New Roman"/>
          <w:sz w:val="20"/>
          <w:szCs w:val="20"/>
        </w:rPr>
        <w:t xml:space="preserve">, </w:t>
      </w:r>
      <w:proofErr w:type="spellStart"/>
      <w:r w:rsidRPr="002B5C3E">
        <w:rPr>
          <w:rFonts w:ascii="Times New Roman" w:hAnsi="Times New Roman" w:cs="Times New Roman"/>
          <w:sz w:val="20"/>
          <w:szCs w:val="20"/>
        </w:rPr>
        <w:t>forest</w:t>
      </w:r>
      <w:proofErr w:type="spellEnd"/>
      <w:r w:rsidRPr="002B5C3E">
        <w:rPr>
          <w:rFonts w:ascii="Times New Roman" w:hAnsi="Times New Roman" w:cs="Times New Roman"/>
          <w:sz w:val="20"/>
          <w:szCs w:val="20"/>
        </w:rPr>
        <w:t xml:space="preserve"> </w:t>
      </w:r>
      <w:proofErr w:type="spellStart"/>
      <w:r w:rsidRPr="002B5C3E">
        <w:rPr>
          <w:rFonts w:ascii="Times New Roman" w:hAnsi="Times New Roman" w:cs="Times New Roman"/>
          <w:sz w:val="20"/>
          <w:szCs w:val="20"/>
        </w:rPr>
        <w:t>species</w:t>
      </w:r>
      <w:proofErr w:type="spellEnd"/>
      <w:r w:rsidRPr="002B5C3E">
        <w:rPr>
          <w:rFonts w:ascii="Times New Roman" w:hAnsi="Times New Roman" w:cs="Times New Roman"/>
          <w:sz w:val="20"/>
          <w:szCs w:val="20"/>
        </w:rPr>
        <w:t>, caatinga.</w:t>
      </w:r>
    </w:p>
    <w:p w:rsidR="002B5C3E" w:rsidRDefault="002B5C3E" w:rsidP="00D46D5F">
      <w:pPr>
        <w:spacing w:after="0"/>
        <w:ind w:right="566"/>
        <w:jc w:val="both"/>
        <w:rPr>
          <w:rFonts w:ascii="Times New Roman" w:hAnsi="Times New Roman" w:cs="Times New Roman"/>
          <w:sz w:val="20"/>
          <w:szCs w:val="20"/>
        </w:rPr>
      </w:pPr>
    </w:p>
    <w:p w:rsidR="00B85FED" w:rsidRDefault="00B85FED" w:rsidP="00F45860">
      <w:pPr>
        <w:spacing w:after="0"/>
        <w:ind w:right="566"/>
        <w:jc w:val="both"/>
        <w:rPr>
          <w:rFonts w:ascii="Times New Roman" w:hAnsi="Times New Roman" w:cs="Times New Roman"/>
          <w:sz w:val="20"/>
          <w:szCs w:val="20"/>
        </w:rPr>
      </w:pPr>
    </w:p>
    <w:p w:rsidR="00D46D5F" w:rsidRDefault="00D46D5F" w:rsidP="00F45860">
      <w:pPr>
        <w:spacing w:after="0"/>
        <w:ind w:right="566"/>
        <w:jc w:val="both"/>
        <w:rPr>
          <w:rFonts w:ascii="Times New Roman" w:hAnsi="Times New Roman" w:cs="Times New Roman"/>
          <w:sz w:val="20"/>
          <w:szCs w:val="20"/>
        </w:rPr>
      </w:pPr>
    </w:p>
    <w:p w:rsidR="00D46D5F" w:rsidRDefault="00D46D5F" w:rsidP="00F45860">
      <w:pPr>
        <w:spacing w:after="0"/>
        <w:ind w:right="566"/>
        <w:jc w:val="both"/>
        <w:rPr>
          <w:rFonts w:ascii="Times New Roman" w:hAnsi="Times New Roman" w:cs="Times New Roman"/>
          <w:sz w:val="20"/>
          <w:szCs w:val="20"/>
        </w:rPr>
      </w:pPr>
    </w:p>
    <w:p w:rsidR="00B85FED" w:rsidRDefault="00B85FED" w:rsidP="00F45860">
      <w:pPr>
        <w:spacing w:after="0"/>
        <w:ind w:right="566"/>
        <w:jc w:val="both"/>
        <w:rPr>
          <w:rFonts w:ascii="Times New Roman" w:hAnsi="Times New Roman" w:cs="Times New Roman"/>
          <w:sz w:val="20"/>
          <w:szCs w:val="20"/>
        </w:rPr>
      </w:pPr>
    </w:p>
    <w:p w:rsidR="00B85FED" w:rsidRDefault="00B85FED" w:rsidP="00F45860">
      <w:pPr>
        <w:spacing w:after="0"/>
        <w:ind w:right="566"/>
        <w:jc w:val="both"/>
        <w:rPr>
          <w:rFonts w:ascii="Times New Roman" w:hAnsi="Times New Roman" w:cs="Times New Roman"/>
          <w:sz w:val="20"/>
          <w:szCs w:val="20"/>
        </w:rPr>
      </w:pPr>
    </w:p>
    <w:p w:rsidR="00B85FED" w:rsidRPr="00B85FED" w:rsidRDefault="00B85FED" w:rsidP="00F45860">
      <w:pPr>
        <w:spacing w:after="0"/>
        <w:ind w:right="566"/>
        <w:jc w:val="both"/>
        <w:rPr>
          <w:rFonts w:ascii="Times New Roman" w:hAnsi="Times New Roman" w:cs="Times New Roman"/>
          <w:b/>
          <w:sz w:val="20"/>
          <w:szCs w:val="20"/>
        </w:rPr>
      </w:pPr>
      <w:r w:rsidRPr="00B85FED">
        <w:rPr>
          <w:rFonts w:ascii="Times New Roman" w:hAnsi="Times New Roman" w:cs="Times New Roman"/>
          <w:b/>
          <w:sz w:val="20"/>
          <w:szCs w:val="20"/>
        </w:rPr>
        <w:t xml:space="preserve">INTRODUÇÃO </w:t>
      </w:r>
    </w:p>
    <w:p w:rsidR="00B85FED" w:rsidRPr="00FF1D1C" w:rsidRDefault="00B85FED" w:rsidP="00F45860">
      <w:pPr>
        <w:spacing w:after="0"/>
        <w:ind w:right="566"/>
        <w:jc w:val="both"/>
        <w:rPr>
          <w:rFonts w:ascii="Times New Roman" w:hAnsi="Times New Roman" w:cs="Times New Roman"/>
          <w:sz w:val="20"/>
          <w:szCs w:val="20"/>
        </w:rPr>
      </w:pP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 xml:space="preserve">A </w:t>
      </w:r>
      <w:proofErr w:type="spellStart"/>
      <w:r w:rsidRPr="00B85FED">
        <w:rPr>
          <w:rFonts w:ascii="Times New Roman" w:hAnsi="Times New Roman" w:cs="Times New Roman"/>
        </w:rPr>
        <w:t>Luetzelburgia</w:t>
      </w:r>
      <w:proofErr w:type="spellEnd"/>
      <w:r w:rsidR="00D46D5F">
        <w:rPr>
          <w:rFonts w:ascii="Times New Roman" w:hAnsi="Times New Roman" w:cs="Times New Roman"/>
        </w:rPr>
        <w:t xml:space="preserve"> </w:t>
      </w:r>
      <w:proofErr w:type="spellStart"/>
      <w:r w:rsidRPr="00B85FED">
        <w:rPr>
          <w:rFonts w:ascii="Times New Roman" w:hAnsi="Times New Roman" w:cs="Times New Roman"/>
        </w:rPr>
        <w:t>auriculata</w:t>
      </w:r>
      <w:proofErr w:type="spellEnd"/>
      <w:r w:rsidRPr="00B85FED">
        <w:rPr>
          <w:rFonts w:ascii="Times New Roman" w:hAnsi="Times New Roman" w:cs="Times New Roman"/>
        </w:rPr>
        <w:t xml:space="preserve"> (</w:t>
      </w:r>
      <w:proofErr w:type="spellStart"/>
      <w:r w:rsidRPr="00B85FED">
        <w:rPr>
          <w:rFonts w:ascii="Times New Roman" w:hAnsi="Times New Roman" w:cs="Times New Roman"/>
        </w:rPr>
        <w:t>Allemao</w:t>
      </w:r>
      <w:proofErr w:type="spellEnd"/>
      <w:r w:rsidRPr="00B85FED">
        <w:rPr>
          <w:rFonts w:ascii="Times New Roman" w:hAnsi="Times New Roman" w:cs="Times New Roman"/>
        </w:rPr>
        <w:t xml:space="preserve">) </w:t>
      </w:r>
      <w:proofErr w:type="spellStart"/>
      <w:r w:rsidRPr="00B85FED">
        <w:rPr>
          <w:rFonts w:ascii="Times New Roman" w:hAnsi="Times New Roman" w:cs="Times New Roman"/>
        </w:rPr>
        <w:t>Duckevulgarmente</w:t>
      </w:r>
      <w:proofErr w:type="spellEnd"/>
      <w:r w:rsidRPr="00B85FED">
        <w:rPr>
          <w:rFonts w:ascii="Times New Roman" w:hAnsi="Times New Roman" w:cs="Times New Roman"/>
        </w:rPr>
        <w:t xml:space="preserve"> conhecida como pau-pedra é uma espécie da família </w:t>
      </w:r>
      <w:proofErr w:type="spellStart"/>
      <w:r w:rsidRPr="00B85FED">
        <w:rPr>
          <w:rFonts w:ascii="Times New Roman" w:hAnsi="Times New Roman" w:cs="Times New Roman"/>
        </w:rPr>
        <w:t>Fabaceae</w:t>
      </w:r>
      <w:proofErr w:type="spellEnd"/>
      <w:r w:rsidR="00191AC2">
        <w:rPr>
          <w:rFonts w:ascii="Times New Roman" w:hAnsi="Times New Roman" w:cs="Times New Roman"/>
        </w:rPr>
        <w:t xml:space="preserve"> </w:t>
      </w:r>
      <w:r w:rsidRPr="00B85FED">
        <w:rPr>
          <w:rFonts w:ascii="Times New Roman" w:hAnsi="Times New Roman" w:cs="Times New Roman"/>
        </w:rPr>
        <w:t xml:space="preserve">típica do Brasil e predominantemente encontrada na região do Nordeste. É uma planta de porte arbóreo, podendo chegar a atingir 22 metros de altura em ambientes que apresentam recursos favoráveis ao seu desenvolvimento. Suas folhas são do tipo </w:t>
      </w:r>
      <w:proofErr w:type="spellStart"/>
      <w:r w:rsidRPr="00B85FED">
        <w:rPr>
          <w:rFonts w:ascii="Times New Roman" w:hAnsi="Times New Roman" w:cs="Times New Roman"/>
        </w:rPr>
        <w:t>imparipinadas</w:t>
      </w:r>
      <w:proofErr w:type="spellEnd"/>
      <w:r w:rsidRPr="00B85FED">
        <w:rPr>
          <w:rFonts w:ascii="Times New Roman" w:hAnsi="Times New Roman" w:cs="Times New Roman"/>
        </w:rPr>
        <w:t xml:space="preserve"> com 5-11 folíolos ovais e, variavelmente coriáceas apresentando a face adaxial fortemente verde diferentemente da face oposta. Suas Flores são pequenas revestidas de pétalas são de coloração branca com a base róseo, dispostas em uma panícula terminal, seus frutos são do tipo sâmara costada na porção basal do epicarpo (VASCONCELOS, 2012).</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ab/>
        <w:t xml:space="preserve">Por ser uma planta rústica e adaptada a solos secos e pedregosos, é uma espécie utilizada para recuperação de áreas degradas, onde na construção civil, é usada como madeira para acabamentos internos (NOGUEIRA et al., 2012). </w:t>
      </w:r>
      <w:r w:rsidRPr="00B85FED">
        <w:rPr>
          <w:rFonts w:ascii="Times New Roman" w:hAnsi="Times New Roman" w:cs="Times New Roman"/>
        </w:rPr>
        <w:tab/>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Esta espécie chama a atenção no bioma em que se encontra, por possuir cheiro desagradável, além de manter-se verde durante todo o ano em meio à paisagem seca da caatinga, perdendo as folhas apenas no período de floração (agosto a setembro), a cada dois anos, seguida</w:t>
      </w:r>
      <w:r w:rsidR="00191AC2">
        <w:rPr>
          <w:rFonts w:ascii="Times New Roman" w:hAnsi="Times New Roman" w:cs="Times New Roman"/>
        </w:rPr>
        <w:t xml:space="preserve"> </w:t>
      </w:r>
      <w:r w:rsidRPr="00B85FED">
        <w:rPr>
          <w:rFonts w:ascii="Times New Roman" w:hAnsi="Times New Roman" w:cs="Times New Roman"/>
        </w:rPr>
        <w:t>pela frutificação, o que as caracteriza como perenifólias. Aparentemente as primeiras folhas que surgem no início da estação chuvosa são tóxicas para os animais (MAIA, 2004; QUEIROZ, 2009).</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 xml:space="preserve">O estudo biométrico de plantas são de grande importância, podendo ser utilizados para subsidiar estudos e projetos voltados para a conservação e a exploração racional dos recursos naturais com valor econômico, ajudar no direcionamento de trabalhos de melhoramento de espécies vegetais, além de fornecer informações que auxiliam na distinção entre espécies do mesmo gênero (GUSMÃO et al., 2006; BATTILANI et al., 2011; CHRISTRO et al., 2012; GONÇALVES et al., 2013), além de ser utilizada como reconhecimento sobre as características morfológicas de frutos e sementes(BARROSO et al,. 2004). </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Quando utilizaram tais características como adicional na identificação de famílias e gêneros de dicotiledôneas. Estes estudos podem ser empregados em análises em laboratórios, identificação e diferenciação de espécies em viveiros e reconhecimento da planta no campo (AMORIM et al., 2008). A ausência desses estudos dificulta pesquisas sobre a regeneração natural, silvicultura e preservação de espécies que correm risco de extinção (BARRETO et al., 2011).</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 xml:space="preserve">A biometria de frutos e sementes fornece informações para a conservação e exploração da espécie, permitindo incremento contínuo na busca racional, uso eficaz e sustentável (CARVALHO et al., 2003). Ao avaliar as características biométricas de frutos e sementes de uma determinada espécie se têm informações importantes sobre a variabilidade dessas características entre indivíduos numa determinada área (SOUTO et al., 2008). </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Este estudo em frutos e sementes também pode fornecer subsídios para a diferenciação de espécies do mesmo gênero, permite comparações de uma mesma espécie que ocorre em localidades geográficas diferentes (ENIEL et al., 2001) e constatar as diferenciações fenotípicas determinadas pelas variações ambientais, pois o meio pode influenciar na expressão de determinadas características (BOTEZELLI et al., 2000).Em virtude dessas características estudos voltados a biometria de frutos e sementes, apresenta-se como uma importante ferramenta, em virtude de sua fácil e rapidez aplicação (ARAÚJO et al., 2012).</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ab/>
        <w:t xml:space="preserve">O peso da semente tem importância econômica para o produtor rural, visto que sua comercialização ocorre por peso ou volume e não por unidade de semente, porém há também a </w:t>
      </w:r>
      <w:r w:rsidRPr="00B85FED">
        <w:rPr>
          <w:rFonts w:ascii="Times New Roman" w:hAnsi="Times New Roman" w:cs="Times New Roman"/>
        </w:rPr>
        <w:lastRenderedPageBreak/>
        <w:t>importância fisiológica que influi no desenvolvimento e vigor da plântula e muda após o processo germinativo.</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ab/>
        <w:t>Santos Neto et al. (2009) retrataram que o tamanho e o peso das sementes para algumas espécies podem ser considerados um indicativo de sua qualidade fisiológica, sendo que em um mesmo lote, sementes mais leves, normalmente, apresentam menor desempenho do que as mais pesadas, tanto na germinação ou, até mesmo, no crescimento inicial das plantas, em decorrência da quantidade de reservas acumuladas e da formação do embrião.</w:t>
      </w:r>
    </w:p>
    <w:p w:rsidR="00B85FED" w:rsidRDefault="00B85FED" w:rsidP="00B85FED">
      <w:pPr>
        <w:jc w:val="both"/>
        <w:rPr>
          <w:rFonts w:ascii="Times New Roman" w:hAnsi="Times New Roman" w:cs="Times New Roman"/>
        </w:rPr>
      </w:pPr>
      <w:r w:rsidRPr="00B85FED">
        <w:rPr>
          <w:rFonts w:ascii="Times New Roman" w:hAnsi="Times New Roman" w:cs="Times New Roman"/>
        </w:rPr>
        <w:t xml:space="preserve">Apesar da importância ambiental, humana e econômica, essa espécie se encontra com poucas informações. Diante disso, este trabalho, teve como objetivo, avaliar as características biométricas, além de seu peso e o teor de umidade de frutos e sementes de Pau-Pedra, oriundas do município de Santa Helena-PB. </w:t>
      </w:r>
    </w:p>
    <w:p w:rsidR="00B85FED" w:rsidRPr="00B85FED" w:rsidRDefault="00B85FED" w:rsidP="00B85FED">
      <w:pPr>
        <w:jc w:val="both"/>
        <w:rPr>
          <w:rFonts w:ascii="Times New Roman" w:hAnsi="Times New Roman" w:cs="Times New Roman"/>
        </w:rPr>
      </w:pPr>
    </w:p>
    <w:p w:rsidR="00B85FED" w:rsidRPr="00B85FED" w:rsidRDefault="00B85FED" w:rsidP="00B85FED">
      <w:pPr>
        <w:jc w:val="both"/>
        <w:rPr>
          <w:rFonts w:ascii="Times New Roman" w:hAnsi="Times New Roman" w:cs="Times New Roman"/>
          <w:b/>
        </w:rPr>
      </w:pPr>
      <w:r>
        <w:rPr>
          <w:rFonts w:ascii="Times New Roman" w:hAnsi="Times New Roman" w:cs="Times New Roman"/>
          <w:b/>
        </w:rPr>
        <w:t>MATERIAL E MÉTODOS</w:t>
      </w: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A pesquisa foi realizada no Laboratório de Nutrição Mineral de Plantas do Centro de Saúde e Tecnologia Rural, Universidade Federal de Campina Grande, Campus de Patos-PB. Os frutos e sementes de Pau pedra (</w:t>
      </w:r>
      <w:proofErr w:type="spellStart"/>
      <w:r w:rsidRPr="00B85FED">
        <w:rPr>
          <w:rFonts w:ascii="Times New Roman" w:hAnsi="Times New Roman" w:cs="Times New Roman"/>
        </w:rPr>
        <w:t>Luetzelburgia</w:t>
      </w:r>
      <w:proofErr w:type="spellEnd"/>
      <w:r w:rsidR="00191AC2">
        <w:rPr>
          <w:rFonts w:ascii="Times New Roman" w:hAnsi="Times New Roman" w:cs="Times New Roman"/>
        </w:rPr>
        <w:t xml:space="preserve"> </w:t>
      </w:r>
      <w:proofErr w:type="spellStart"/>
      <w:r w:rsidRPr="00B85FED">
        <w:rPr>
          <w:rFonts w:ascii="Times New Roman" w:hAnsi="Times New Roman" w:cs="Times New Roman"/>
        </w:rPr>
        <w:t>auriculata</w:t>
      </w:r>
      <w:proofErr w:type="spellEnd"/>
      <w:r w:rsidRPr="00B85FED">
        <w:rPr>
          <w:rFonts w:ascii="Times New Roman" w:hAnsi="Times New Roman" w:cs="Times New Roman"/>
        </w:rPr>
        <w:t>) foram coletados em setembro de 2015 no município de Santa Helena-PB (06º 43' 13" S e 38º 38' 17" W). Após a coleta, os frutos foram armazenados em sacos plásticos e transportados para o LABNUT/UFCG</w:t>
      </w:r>
      <w:r w:rsidR="00191AC2">
        <w:rPr>
          <w:rFonts w:ascii="Times New Roman" w:hAnsi="Times New Roman" w:cs="Times New Roman"/>
        </w:rPr>
        <w:t xml:space="preserve"> </w:t>
      </w:r>
      <w:r w:rsidRPr="00B85FED">
        <w:rPr>
          <w:rFonts w:ascii="Times New Roman" w:hAnsi="Times New Roman" w:cs="Times New Roman"/>
        </w:rPr>
        <w:t>em Patos-PB.</w:t>
      </w: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 xml:space="preserve">Para a obtenção dos dados biométricos, foram descartados os frutos visualmente danificados e, posteriormente foram separados ao acaso </w:t>
      </w:r>
      <w:proofErr w:type="gramStart"/>
      <w:r w:rsidRPr="00B85FED">
        <w:rPr>
          <w:rFonts w:ascii="Times New Roman" w:hAnsi="Times New Roman" w:cs="Times New Roman"/>
        </w:rPr>
        <w:t>frutos(</w:t>
      </w:r>
      <w:proofErr w:type="gramEnd"/>
      <w:r w:rsidRPr="00B85FED">
        <w:rPr>
          <w:rFonts w:ascii="Times New Roman" w:hAnsi="Times New Roman" w:cs="Times New Roman"/>
        </w:rPr>
        <w:t>n= 200) e sementes (n= 200) para avaliação. Nos frutos e sementes foi avaliado o comprimento, a espessura e a largura, utilizando-se um paquímetro digital de precisão, de 0,1 mm.</w:t>
      </w: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 xml:space="preserve">Com os dados obtidos foi calculada a amplitude dos valores segundo Paiva (1982), que consiste na relação entre os maiores e menores valores, objetivando a construção do número de classes (K), através da equação de </w:t>
      </w:r>
      <w:proofErr w:type="spellStart"/>
      <w:r w:rsidRPr="00B85FED">
        <w:rPr>
          <w:rFonts w:ascii="Times New Roman" w:hAnsi="Times New Roman" w:cs="Times New Roman"/>
        </w:rPr>
        <w:t>Sturges</w:t>
      </w:r>
      <w:proofErr w:type="spellEnd"/>
      <w:r w:rsidRPr="00B85FED">
        <w:rPr>
          <w:rFonts w:ascii="Times New Roman" w:hAnsi="Times New Roman" w:cs="Times New Roman"/>
        </w:rPr>
        <w:t>:</w:t>
      </w:r>
    </w:p>
    <w:p w:rsidR="00B85FED" w:rsidRPr="00B85FED" w:rsidRDefault="00B85FED" w:rsidP="00B85FED">
      <w:pPr>
        <w:jc w:val="both"/>
        <w:rPr>
          <w:rFonts w:ascii="Times New Roman" w:hAnsi="Times New Roman" w:cs="Times New Roman"/>
        </w:rPr>
      </w:pPr>
    </w:p>
    <w:p w:rsidR="00B85FED" w:rsidRPr="00B85FED" w:rsidRDefault="00B85FED" w:rsidP="00B85FED">
      <w:pPr>
        <w:jc w:val="both"/>
        <w:rPr>
          <w:rFonts w:ascii="Times New Roman" w:hAnsi="Times New Roman" w:cs="Times New Roman"/>
        </w:rPr>
      </w:pP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 xml:space="preserve">K = 1 + </w:t>
      </w:r>
      <w:proofErr w:type="gramStart"/>
      <w:r w:rsidRPr="00B85FED">
        <w:rPr>
          <w:rFonts w:ascii="Times New Roman" w:hAnsi="Times New Roman" w:cs="Times New Roman"/>
        </w:rPr>
        <w:t>3,33 log</w:t>
      </w:r>
      <w:proofErr w:type="gramEnd"/>
      <w:r w:rsidRPr="00B85FED">
        <w:rPr>
          <w:rFonts w:ascii="Times New Roman" w:hAnsi="Times New Roman" w:cs="Times New Roman"/>
        </w:rPr>
        <w:t xml:space="preserve"> n</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K = número de classes;</w:t>
      </w:r>
    </w:p>
    <w:p w:rsidR="00B85FED" w:rsidRPr="00B85FED" w:rsidRDefault="00B85FED" w:rsidP="00B85FED">
      <w:pPr>
        <w:jc w:val="both"/>
        <w:rPr>
          <w:rFonts w:ascii="Times New Roman" w:hAnsi="Times New Roman" w:cs="Times New Roman"/>
        </w:rPr>
      </w:pPr>
      <w:proofErr w:type="gramStart"/>
      <w:r w:rsidRPr="00B85FED">
        <w:rPr>
          <w:rFonts w:ascii="Times New Roman" w:hAnsi="Times New Roman" w:cs="Times New Roman"/>
        </w:rPr>
        <w:t>n</w:t>
      </w:r>
      <w:proofErr w:type="gramEnd"/>
      <w:r w:rsidRPr="00B85FED">
        <w:rPr>
          <w:rFonts w:ascii="Times New Roman" w:hAnsi="Times New Roman" w:cs="Times New Roman"/>
        </w:rPr>
        <w:t xml:space="preserve"> = número de dados avaliados.</w:t>
      </w:r>
    </w:p>
    <w:p w:rsidR="00B85FED" w:rsidRPr="00B85FED" w:rsidRDefault="00B85FED" w:rsidP="00B85FED">
      <w:pPr>
        <w:jc w:val="both"/>
        <w:rPr>
          <w:rFonts w:ascii="Times New Roman" w:hAnsi="Times New Roman" w:cs="Times New Roman"/>
        </w:rPr>
      </w:pP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 xml:space="preserve">A massa das sementes foi obtida através da pesagem de 200 sementes individualmente, em balança analítica, com precisão de 0,001g. De posse dessa informação obteve-se o peso médio da semente e a quantidade de sementes por quilograma. </w:t>
      </w: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O teor de umidade foi avaliado em três repetições de frutos (n= 25)</w:t>
      </w:r>
      <w:r w:rsidR="00191AC2">
        <w:rPr>
          <w:rFonts w:ascii="Times New Roman" w:hAnsi="Times New Roman" w:cs="Times New Roman"/>
        </w:rPr>
        <w:t xml:space="preserve"> </w:t>
      </w:r>
      <w:r w:rsidRPr="00B85FED">
        <w:rPr>
          <w:rFonts w:ascii="Times New Roman" w:hAnsi="Times New Roman" w:cs="Times New Roman"/>
        </w:rPr>
        <w:t>e sementes (n= 25), que foram colocadas em cápsulas de alumínio e levadas para estufa a 105°C pelo período de 24 horas. Para a determinação dos pesos, foi feito primeiro o peso da cápsula vazia, depois o peso da cápsula com as sementes (PU) e após 24 horas foi feito o peso das cápsulas com as sementes (PS). Para a determinação do teor de umidade utilizou-se a seguinte fórmula descrita nas Regras para Anál</w:t>
      </w:r>
      <w:r>
        <w:rPr>
          <w:rFonts w:ascii="Times New Roman" w:hAnsi="Times New Roman" w:cs="Times New Roman"/>
        </w:rPr>
        <w:t>ise de Sementes (BRASIL, 2009).</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U%= (PU - PS) / PU * 100</w:t>
      </w:r>
    </w:p>
    <w:p w:rsidR="00B85FED" w:rsidRPr="00B85FED" w:rsidRDefault="00B85FED" w:rsidP="00B85FED">
      <w:pPr>
        <w:jc w:val="both"/>
        <w:rPr>
          <w:rFonts w:ascii="Times New Roman" w:hAnsi="Times New Roman" w:cs="Times New Roman"/>
        </w:rPr>
      </w:pP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 xml:space="preserve">Onde: </w:t>
      </w:r>
    </w:p>
    <w:p w:rsidR="00B85FED" w:rsidRPr="00B85FED" w:rsidRDefault="00B85FED" w:rsidP="00B85FED">
      <w:pPr>
        <w:jc w:val="both"/>
        <w:rPr>
          <w:rFonts w:ascii="Times New Roman" w:hAnsi="Times New Roman" w:cs="Times New Roman"/>
        </w:rPr>
      </w:pP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 xml:space="preserve">U% = Teor de umidade </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 xml:space="preserve">           PU = Peso úmido </w:t>
      </w:r>
    </w:p>
    <w:p w:rsidR="00B85FED" w:rsidRPr="00B85FED" w:rsidRDefault="00B85FED" w:rsidP="00B85FED">
      <w:pPr>
        <w:jc w:val="both"/>
        <w:rPr>
          <w:rFonts w:ascii="Times New Roman" w:hAnsi="Times New Roman" w:cs="Times New Roman"/>
        </w:rPr>
      </w:pPr>
      <w:r w:rsidRPr="00B85FED">
        <w:rPr>
          <w:rFonts w:ascii="Times New Roman" w:hAnsi="Times New Roman" w:cs="Times New Roman"/>
        </w:rPr>
        <w:t xml:space="preserve">           PS = Peso seco.</w:t>
      </w:r>
    </w:p>
    <w:p w:rsidR="00B85FED" w:rsidRPr="00B85FED" w:rsidRDefault="00B85FED" w:rsidP="00B85FED">
      <w:pPr>
        <w:jc w:val="both"/>
        <w:rPr>
          <w:rFonts w:ascii="Times New Roman" w:hAnsi="Times New Roman" w:cs="Times New Roman"/>
        </w:rPr>
      </w:pP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Os dados da biometria dos frutos e semente da espécie foram representados graficamente em histogramas de classes de frequência para cada variável, de forma a visualizar melhor a distribuição.</w:t>
      </w:r>
    </w:p>
    <w:p w:rsidR="00B85FED" w:rsidRPr="00B85FED" w:rsidRDefault="00B85FED" w:rsidP="00B85FED">
      <w:pPr>
        <w:jc w:val="both"/>
        <w:rPr>
          <w:rFonts w:ascii="Times New Roman" w:hAnsi="Times New Roman" w:cs="Times New Roman"/>
        </w:rPr>
      </w:pPr>
    </w:p>
    <w:p w:rsidR="00B85FED" w:rsidRPr="00B85FED" w:rsidRDefault="00B85FED" w:rsidP="00B85FED">
      <w:pPr>
        <w:jc w:val="both"/>
        <w:rPr>
          <w:rFonts w:ascii="Times New Roman" w:hAnsi="Times New Roman" w:cs="Times New Roman"/>
          <w:b/>
        </w:rPr>
      </w:pPr>
      <w:r w:rsidRPr="00B85FED">
        <w:rPr>
          <w:rFonts w:ascii="Times New Roman" w:hAnsi="Times New Roman" w:cs="Times New Roman"/>
          <w:b/>
        </w:rPr>
        <w:t>RESULTADOS E DISCUSSÃO</w:t>
      </w:r>
    </w:p>
    <w:p w:rsidR="00B85FED" w:rsidRPr="00B85FED" w:rsidRDefault="00B85FED" w:rsidP="002B5C3E">
      <w:pPr>
        <w:ind w:firstLine="708"/>
        <w:jc w:val="both"/>
        <w:rPr>
          <w:rFonts w:ascii="Times New Roman" w:hAnsi="Times New Roman" w:cs="Times New Roman"/>
        </w:rPr>
      </w:pPr>
      <w:r w:rsidRPr="00B85FED">
        <w:rPr>
          <w:rFonts w:ascii="Times New Roman" w:hAnsi="Times New Roman" w:cs="Times New Roman"/>
        </w:rPr>
        <w:t xml:space="preserve">De acordo com os dados biométricos dos frutos da </w:t>
      </w:r>
      <w:proofErr w:type="spellStart"/>
      <w:r w:rsidRPr="00B85FED">
        <w:rPr>
          <w:rFonts w:ascii="Times New Roman" w:hAnsi="Times New Roman" w:cs="Times New Roman"/>
        </w:rPr>
        <w:t>Luetzelburgia</w:t>
      </w:r>
      <w:proofErr w:type="spellEnd"/>
      <w:r w:rsidR="00191AC2">
        <w:rPr>
          <w:rFonts w:ascii="Times New Roman" w:hAnsi="Times New Roman" w:cs="Times New Roman"/>
        </w:rPr>
        <w:t xml:space="preserve"> </w:t>
      </w:r>
      <w:proofErr w:type="spellStart"/>
      <w:r w:rsidRPr="00B85FED">
        <w:rPr>
          <w:rFonts w:ascii="Times New Roman" w:hAnsi="Times New Roman" w:cs="Times New Roman"/>
        </w:rPr>
        <w:t>auriculata</w:t>
      </w:r>
      <w:proofErr w:type="spellEnd"/>
      <w:r w:rsidRPr="00B85FED">
        <w:rPr>
          <w:rFonts w:ascii="Times New Roman" w:hAnsi="Times New Roman" w:cs="Times New Roman"/>
        </w:rPr>
        <w:t>, observa-se que há uma variação de 50,7 a 98,2 cm em seu comprimento com predominância (29%),</w:t>
      </w:r>
      <w:r>
        <w:rPr>
          <w:rFonts w:ascii="Times New Roman" w:hAnsi="Times New Roman" w:cs="Times New Roman"/>
        </w:rPr>
        <w:t xml:space="preserve"> </w:t>
      </w:r>
      <w:r w:rsidRPr="00B85FED">
        <w:rPr>
          <w:rFonts w:ascii="Times New Roman" w:hAnsi="Times New Roman" w:cs="Times New Roman"/>
        </w:rPr>
        <w:t xml:space="preserve">na classe com intervalo de 74,6 a 80,4 cm (Figura 1). Essa variação é considerada comum, uma vez que agentes </w:t>
      </w:r>
      <w:r w:rsidR="00191AC2" w:rsidRPr="00B85FED">
        <w:rPr>
          <w:rFonts w:ascii="Times New Roman" w:hAnsi="Times New Roman" w:cs="Times New Roman"/>
        </w:rPr>
        <w:t>intrínsecos</w:t>
      </w:r>
      <w:r w:rsidRPr="00B85FED">
        <w:rPr>
          <w:rFonts w:ascii="Times New Roman" w:hAnsi="Times New Roman" w:cs="Times New Roman"/>
        </w:rPr>
        <w:t xml:space="preserve"> e extrínsecos podem promover essa variação. </w:t>
      </w:r>
    </w:p>
    <w:p w:rsidR="00B85FED" w:rsidRDefault="00B85FED" w:rsidP="002B5C3E">
      <w:pPr>
        <w:ind w:firstLine="708"/>
        <w:jc w:val="both"/>
        <w:rPr>
          <w:rFonts w:ascii="Times New Roman" w:hAnsi="Times New Roman" w:cs="Times New Roman"/>
        </w:rPr>
      </w:pPr>
      <w:r w:rsidRPr="00B85FED">
        <w:rPr>
          <w:rFonts w:ascii="Times New Roman" w:hAnsi="Times New Roman" w:cs="Times New Roman"/>
        </w:rPr>
        <w:t>As variações nas dimensões dos frutos podem ser promovidas tanto por fatores ambientais durante o florescimento e o desenvolvimento, como também pode representar um indício de alta variabilidade genética populacional (SANGALI, 2008).</w:t>
      </w:r>
    </w:p>
    <w:p w:rsidR="00B85FED" w:rsidRPr="00B85FED" w:rsidRDefault="00B85FED" w:rsidP="00B85FED">
      <w:pPr>
        <w:jc w:val="both"/>
        <w:rPr>
          <w:rFonts w:ascii="Times New Roman" w:hAnsi="Times New Roman" w:cs="Times New Roman"/>
        </w:rPr>
      </w:pPr>
    </w:p>
    <w:p w:rsidR="00F45860" w:rsidRDefault="00B85FED" w:rsidP="00B85FED">
      <w:pPr>
        <w:jc w:val="center"/>
        <w:rPr>
          <w:rFonts w:ascii="Times New Roman" w:hAnsi="Times New Roman" w:cs="Times New Roman"/>
        </w:rPr>
      </w:pPr>
      <w:r w:rsidRPr="00FF1D1C">
        <w:rPr>
          <w:rFonts w:ascii="Times New Roman" w:hAnsi="Times New Roman" w:cs="Times New Roman"/>
          <w:noProof/>
          <w:sz w:val="20"/>
          <w:szCs w:val="20"/>
          <w:lang w:eastAsia="pt-BR"/>
        </w:rPr>
        <w:drawing>
          <wp:inline distT="0" distB="0" distL="0" distR="0" wp14:anchorId="50A16D02" wp14:editId="5BDFBB71">
            <wp:extent cx="3036627" cy="2286000"/>
            <wp:effectExtent l="0" t="0" r="0" b="0"/>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85FED" w:rsidRPr="00751ADA" w:rsidRDefault="00B85FED" w:rsidP="00B85FED">
      <w:pPr>
        <w:pStyle w:val="SemEspaamento"/>
        <w:jc w:val="both"/>
        <w:rPr>
          <w:rFonts w:ascii="Times New Roman" w:hAnsi="Times New Roman" w:cs="Times New Roman"/>
          <w:sz w:val="20"/>
          <w:szCs w:val="20"/>
        </w:rPr>
      </w:pPr>
      <w:r w:rsidRPr="00751ADA">
        <w:rPr>
          <w:rFonts w:ascii="Times New Roman" w:hAnsi="Times New Roman" w:cs="Times New Roman"/>
          <w:b/>
          <w:noProof/>
          <w:sz w:val="20"/>
          <w:szCs w:val="20"/>
          <w:lang w:eastAsia="pt-BR"/>
        </w:rPr>
        <w:t xml:space="preserve">Figura 1 </w:t>
      </w:r>
      <w:r w:rsidRPr="00751ADA">
        <w:rPr>
          <w:rFonts w:ascii="Times New Roman" w:hAnsi="Times New Roman" w:cs="Times New Roman"/>
          <w:noProof/>
          <w:sz w:val="20"/>
          <w:szCs w:val="20"/>
          <w:lang w:eastAsia="pt-BR"/>
        </w:rPr>
        <w:t xml:space="preserve"> – Frequência (%)  de comprimento (cm)  dos frutos de </w:t>
      </w:r>
      <w:proofErr w:type="spellStart"/>
      <w:r w:rsidRPr="00751ADA">
        <w:rPr>
          <w:rFonts w:ascii="Times New Roman" w:hAnsi="Times New Roman" w:cs="Times New Roman"/>
          <w:i/>
          <w:sz w:val="20"/>
          <w:szCs w:val="20"/>
          <w:shd w:val="clear" w:color="auto" w:fill="FFFFFF"/>
        </w:rPr>
        <w:t>Luetzelburgiaauriculata</w:t>
      </w:r>
      <w:proofErr w:type="spellEnd"/>
      <w:r w:rsidRPr="00751ADA">
        <w:rPr>
          <w:rFonts w:ascii="Times New Roman" w:hAnsi="Times New Roman" w:cs="Times New Roman"/>
          <w:i/>
          <w:sz w:val="20"/>
          <w:szCs w:val="20"/>
          <w:shd w:val="clear" w:color="auto" w:fill="FFFFFF"/>
        </w:rPr>
        <w:t xml:space="preserve">, </w:t>
      </w:r>
      <w:r w:rsidRPr="00751ADA">
        <w:rPr>
          <w:rFonts w:ascii="Times New Roman" w:hAnsi="Times New Roman" w:cs="Times New Roman"/>
          <w:sz w:val="20"/>
          <w:szCs w:val="20"/>
          <w:shd w:val="clear" w:color="auto" w:fill="FFFFFF"/>
        </w:rPr>
        <w:t>CSTR/UFCG, Patos-PB, 2015.</w:t>
      </w:r>
    </w:p>
    <w:p w:rsidR="00B85FED" w:rsidRDefault="00B85FED" w:rsidP="00B85FED">
      <w:pPr>
        <w:jc w:val="center"/>
        <w:rPr>
          <w:rFonts w:ascii="Times New Roman" w:hAnsi="Times New Roman" w:cs="Times New Roman"/>
        </w:rPr>
      </w:pPr>
    </w:p>
    <w:p w:rsidR="00B85FED" w:rsidRPr="002B5C3E" w:rsidRDefault="00B85FED" w:rsidP="00B85FED">
      <w:pPr>
        <w:pStyle w:val="SemEspaamento"/>
        <w:ind w:firstLine="708"/>
        <w:jc w:val="both"/>
        <w:rPr>
          <w:rStyle w:val="style31"/>
          <w:rFonts w:ascii="Times New Roman" w:eastAsia="Times New Roman" w:hAnsi="Times New Roman" w:cs="Times New Roman"/>
          <w:sz w:val="22"/>
          <w:szCs w:val="20"/>
        </w:rPr>
      </w:pPr>
      <w:proofErr w:type="spellStart"/>
      <w:r w:rsidRPr="002B5C3E">
        <w:rPr>
          <w:rFonts w:ascii="Times New Roman" w:eastAsia="MinionPro-Regular" w:hAnsi="Times New Roman" w:cs="Times New Roman"/>
          <w:szCs w:val="20"/>
        </w:rPr>
        <w:t>Lorenzi</w:t>
      </w:r>
      <w:proofErr w:type="spellEnd"/>
      <w:r w:rsidRPr="002B5C3E">
        <w:rPr>
          <w:rFonts w:ascii="Times New Roman" w:eastAsia="MinionPro-Regular" w:hAnsi="Times New Roman" w:cs="Times New Roman"/>
          <w:szCs w:val="20"/>
        </w:rPr>
        <w:t xml:space="preserve"> (2008)</w:t>
      </w:r>
      <w:r w:rsidRPr="002B5C3E">
        <w:rPr>
          <w:rStyle w:val="style31"/>
          <w:rFonts w:ascii="Times New Roman" w:eastAsia="Times New Roman" w:hAnsi="Times New Roman" w:cs="Times New Roman"/>
          <w:sz w:val="22"/>
          <w:szCs w:val="20"/>
        </w:rPr>
        <w:t xml:space="preserve"> caracteriza o fruto da </w:t>
      </w:r>
      <w:r w:rsidRPr="002B5C3E">
        <w:rPr>
          <w:rFonts w:ascii="Times New Roman" w:hAnsi="Times New Roman" w:cs="Times New Roman"/>
          <w:i/>
          <w:szCs w:val="20"/>
          <w:shd w:val="clear" w:color="auto" w:fill="FFFFFF"/>
        </w:rPr>
        <w:t xml:space="preserve">L. </w:t>
      </w:r>
      <w:proofErr w:type="spellStart"/>
      <w:r w:rsidRPr="002B5C3E">
        <w:rPr>
          <w:rFonts w:ascii="Times New Roman" w:hAnsi="Times New Roman" w:cs="Times New Roman"/>
          <w:i/>
          <w:szCs w:val="20"/>
          <w:shd w:val="clear" w:color="auto" w:fill="FFFFFF"/>
        </w:rPr>
        <w:t>auriculata</w:t>
      </w:r>
      <w:proofErr w:type="spellEnd"/>
      <w:r w:rsidRPr="002B5C3E">
        <w:rPr>
          <w:rStyle w:val="style31"/>
          <w:rFonts w:ascii="Times New Roman" w:eastAsia="Times New Roman" w:hAnsi="Times New Roman" w:cs="Times New Roman"/>
          <w:sz w:val="22"/>
          <w:szCs w:val="20"/>
        </w:rPr>
        <w:t xml:space="preserve"> como tipo sâmara, indeiscente, seco, oblongo, alado, comprimento variado de 62,93-82,04 mm, pardo-escuro, monospérmico, núcleo seminífero basal, </w:t>
      </w:r>
      <w:proofErr w:type="spellStart"/>
      <w:r w:rsidRPr="002B5C3E">
        <w:rPr>
          <w:rStyle w:val="style31"/>
          <w:rFonts w:ascii="Times New Roman" w:eastAsia="Times New Roman" w:hAnsi="Times New Roman" w:cs="Times New Roman"/>
          <w:sz w:val="22"/>
          <w:szCs w:val="20"/>
        </w:rPr>
        <w:t>ovóide</w:t>
      </w:r>
      <w:proofErr w:type="spellEnd"/>
      <w:r w:rsidRPr="002B5C3E">
        <w:rPr>
          <w:rStyle w:val="style31"/>
          <w:rFonts w:ascii="Times New Roman" w:eastAsia="Times New Roman" w:hAnsi="Times New Roman" w:cs="Times New Roman"/>
          <w:sz w:val="22"/>
          <w:szCs w:val="20"/>
        </w:rPr>
        <w:t xml:space="preserve"> com asas laterais vistosas, marrom escuro, coriáceo, bordos ondulados em um dos lados do núcleo seminífero.</w:t>
      </w:r>
    </w:p>
    <w:p w:rsidR="00B85FED" w:rsidRPr="002B5C3E" w:rsidRDefault="00B85FED" w:rsidP="00B85FED">
      <w:pPr>
        <w:pStyle w:val="SemEspaamento"/>
        <w:ind w:firstLine="708"/>
        <w:jc w:val="both"/>
        <w:rPr>
          <w:rFonts w:ascii="Times New Roman" w:hAnsi="Times New Roman" w:cs="Times New Roman"/>
          <w:bCs/>
          <w:iCs/>
          <w:szCs w:val="20"/>
        </w:rPr>
      </w:pPr>
      <w:r w:rsidRPr="002B5C3E">
        <w:rPr>
          <w:rFonts w:ascii="Times New Roman" w:eastAsia="Calibri" w:hAnsi="Times New Roman" w:cs="Times New Roman"/>
          <w:bCs/>
          <w:iCs/>
          <w:szCs w:val="20"/>
        </w:rPr>
        <w:t>Com relação à</w:t>
      </w:r>
      <w:r w:rsidRPr="002B5C3E">
        <w:rPr>
          <w:rFonts w:ascii="Times New Roman" w:hAnsi="Times New Roman" w:cs="Times New Roman"/>
          <w:bCs/>
          <w:iCs/>
          <w:szCs w:val="20"/>
        </w:rPr>
        <w:t xml:space="preserve"> espessura dos frutos (Figura 2), houve variação de 6,00</w:t>
      </w:r>
      <w:r w:rsidRPr="002B5C3E">
        <w:rPr>
          <w:rFonts w:ascii="Times New Roman" w:eastAsia="Calibri" w:hAnsi="Times New Roman" w:cs="Times New Roman"/>
          <w:bCs/>
          <w:iCs/>
          <w:szCs w:val="20"/>
        </w:rPr>
        <w:t xml:space="preserve"> a </w:t>
      </w:r>
      <w:r w:rsidRPr="002B5C3E">
        <w:rPr>
          <w:rFonts w:ascii="Times New Roman" w:hAnsi="Times New Roman" w:cs="Times New Roman"/>
          <w:bCs/>
          <w:iCs/>
          <w:szCs w:val="20"/>
        </w:rPr>
        <w:t>17</w:t>
      </w:r>
      <w:r w:rsidRPr="002B5C3E">
        <w:rPr>
          <w:rFonts w:ascii="Times New Roman" w:eastAsia="Calibri" w:hAnsi="Times New Roman" w:cs="Times New Roman"/>
          <w:bCs/>
          <w:iCs/>
          <w:szCs w:val="20"/>
        </w:rPr>
        <w:t xml:space="preserve">mm. A classe com intervalos variando entre </w:t>
      </w:r>
      <w:r w:rsidRPr="002B5C3E">
        <w:rPr>
          <w:rFonts w:ascii="Times New Roman" w:hAnsi="Times New Roman" w:cs="Times New Roman"/>
          <w:bCs/>
          <w:iCs/>
          <w:szCs w:val="20"/>
        </w:rPr>
        <w:t>10,11</w:t>
      </w:r>
      <w:r w:rsidRPr="002B5C3E">
        <w:rPr>
          <w:rFonts w:ascii="Times New Roman" w:eastAsia="Calibri" w:hAnsi="Times New Roman" w:cs="Times New Roman"/>
          <w:bCs/>
          <w:iCs/>
          <w:szCs w:val="20"/>
        </w:rPr>
        <w:t xml:space="preserve"> a </w:t>
      </w:r>
      <w:r w:rsidRPr="002B5C3E">
        <w:rPr>
          <w:rFonts w:ascii="Times New Roman" w:hAnsi="Times New Roman" w:cs="Times New Roman"/>
          <w:bCs/>
          <w:iCs/>
          <w:szCs w:val="20"/>
        </w:rPr>
        <w:t>11,5 mm prevaleceu com 32</w:t>
      </w:r>
      <w:r w:rsidRPr="002B5C3E">
        <w:rPr>
          <w:rFonts w:ascii="Times New Roman" w:eastAsia="Calibri" w:hAnsi="Times New Roman" w:cs="Times New Roman"/>
          <w:bCs/>
          <w:iCs/>
          <w:szCs w:val="20"/>
        </w:rPr>
        <w:t xml:space="preserve">% dos frutos. </w:t>
      </w:r>
    </w:p>
    <w:p w:rsidR="00B85FED" w:rsidRPr="002B5C3E" w:rsidRDefault="00B85FED" w:rsidP="00B85FED">
      <w:pPr>
        <w:pStyle w:val="SemEspaamento"/>
        <w:ind w:firstLine="708"/>
        <w:jc w:val="both"/>
        <w:rPr>
          <w:rFonts w:ascii="Times New Roman" w:hAnsi="Times New Roman" w:cs="Times New Roman"/>
          <w:bCs/>
          <w:iCs/>
          <w:sz w:val="24"/>
        </w:rPr>
      </w:pPr>
    </w:p>
    <w:p w:rsidR="00B85FED" w:rsidRDefault="00B85FED" w:rsidP="00B85FED">
      <w:pPr>
        <w:jc w:val="center"/>
        <w:rPr>
          <w:rFonts w:ascii="Times New Roman" w:hAnsi="Times New Roman" w:cs="Times New Roman"/>
        </w:rPr>
      </w:pPr>
      <w:r w:rsidRPr="00FF1D1C">
        <w:rPr>
          <w:rFonts w:ascii="Times New Roman" w:hAnsi="Times New Roman"/>
          <w:noProof/>
          <w:sz w:val="18"/>
          <w:szCs w:val="18"/>
          <w:lang w:eastAsia="pt-BR"/>
        </w:rPr>
        <w:drawing>
          <wp:inline distT="0" distB="0" distL="0" distR="0" wp14:anchorId="266C84AB" wp14:editId="2C2A504A">
            <wp:extent cx="3285490" cy="1628775"/>
            <wp:effectExtent l="0" t="0" r="0" b="0"/>
            <wp:docPr id="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85FED" w:rsidRPr="002B5C3E" w:rsidRDefault="00B85FED" w:rsidP="00B85FED">
      <w:pPr>
        <w:jc w:val="both"/>
        <w:rPr>
          <w:rFonts w:ascii="Times New Roman" w:hAnsi="Times New Roman" w:cs="Times New Roman"/>
          <w:bCs/>
          <w:iCs/>
          <w:szCs w:val="20"/>
        </w:rPr>
      </w:pPr>
      <w:r w:rsidRPr="00751ADA">
        <w:rPr>
          <w:rFonts w:ascii="Times New Roman" w:hAnsi="Times New Roman" w:cs="Times New Roman"/>
          <w:b/>
          <w:sz w:val="20"/>
          <w:szCs w:val="20"/>
        </w:rPr>
        <w:t>Figura 2 -</w:t>
      </w:r>
      <w:r w:rsidRPr="00751ADA">
        <w:rPr>
          <w:rFonts w:ascii="Times New Roman" w:hAnsi="Times New Roman" w:cs="Times New Roman"/>
          <w:sz w:val="20"/>
          <w:szCs w:val="20"/>
        </w:rPr>
        <w:t xml:space="preserve"> Frequência (%) de espessura (mm) dos frutos de </w:t>
      </w:r>
      <w:proofErr w:type="spellStart"/>
      <w:r w:rsidRPr="00751ADA">
        <w:rPr>
          <w:rFonts w:ascii="Times New Roman" w:hAnsi="Times New Roman" w:cs="Times New Roman"/>
          <w:i/>
          <w:sz w:val="20"/>
          <w:szCs w:val="20"/>
          <w:shd w:val="clear" w:color="auto" w:fill="FFFFFF"/>
        </w:rPr>
        <w:t>Luetzelburgiaauriculata</w:t>
      </w:r>
      <w:proofErr w:type="spellEnd"/>
      <w:r w:rsidRPr="00751ADA">
        <w:rPr>
          <w:rFonts w:ascii="Times New Roman" w:hAnsi="Times New Roman" w:cs="Times New Roman"/>
          <w:i/>
          <w:sz w:val="20"/>
          <w:szCs w:val="20"/>
          <w:shd w:val="clear" w:color="auto" w:fill="FFFFFF"/>
        </w:rPr>
        <w:t xml:space="preserve">, </w:t>
      </w:r>
      <w:r w:rsidRPr="00751ADA">
        <w:rPr>
          <w:rFonts w:ascii="Times New Roman" w:hAnsi="Times New Roman" w:cs="Times New Roman"/>
          <w:sz w:val="20"/>
          <w:szCs w:val="20"/>
          <w:shd w:val="clear" w:color="auto" w:fill="FFFFFF"/>
        </w:rPr>
        <w:t>CSTR/UFCG, Patos-PB, 2015.</w:t>
      </w:r>
    </w:p>
    <w:p w:rsidR="00B85FED" w:rsidRPr="002B5C3E" w:rsidRDefault="00B85FED" w:rsidP="00B85FED">
      <w:pPr>
        <w:pStyle w:val="TextosemFormatao"/>
        <w:tabs>
          <w:tab w:val="left" w:pos="993"/>
        </w:tabs>
        <w:jc w:val="both"/>
        <w:rPr>
          <w:rFonts w:ascii="Times New Roman" w:hAnsi="Times New Roman"/>
          <w:bCs/>
          <w:iCs/>
          <w:sz w:val="22"/>
        </w:rPr>
      </w:pPr>
      <w:r w:rsidRPr="002B5C3E">
        <w:rPr>
          <w:rFonts w:ascii="Times New Roman" w:hAnsi="Times New Roman"/>
          <w:bCs/>
          <w:iCs/>
          <w:sz w:val="22"/>
        </w:rPr>
        <w:tab/>
        <w:t>Os frutos variaram de 12,4 a 21,8 mm de largura, com predominância na classe com variação entre 15,9 a 17,1 mm, onde se enquadrou 34,5% dos frutos avaliados (Figura 3).</w:t>
      </w:r>
    </w:p>
    <w:p w:rsidR="00B85FED" w:rsidRPr="002B5C3E" w:rsidRDefault="00B85FED" w:rsidP="00B85FED">
      <w:pPr>
        <w:pStyle w:val="TextosemFormatao"/>
        <w:tabs>
          <w:tab w:val="left" w:pos="993"/>
        </w:tabs>
        <w:jc w:val="both"/>
        <w:rPr>
          <w:rFonts w:ascii="Times New Roman" w:hAnsi="Times New Roman"/>
          <w:szCs w:val="18"/>
        </w:rPr>
      </w:pPr>
    </w:p>
    <w:p w:rsidR="00B85FED" w:rsidRPr="00FF1D1C" w:rsidRDefault="00B85FED" w:rsidP="00B85FED">
      <w:pPr>
        <w:pStyle w:val="TextosemFormatao"/>
        <w:tabs>
          <w:tab w:val="left" w:pos="993"/>
        </w:tabs>
        <w:jc w:val="center"/>
        <w:rPr>
          <w:rFonts w:ascii="Times New Roman" w:hAnsi="Times New Roman"/>
          <w:sz w:val="18"/>
          <w:szCs w:val="18"/>
        </w:rPr>
      </w:pPr>
      <w:r w:rsidRPr="00FF1D1C">
        <w:rPr>
          <w:rFonts w:ascii="Times New Roman" w:hAnsi="Times New Roman"/>
          <w:noProof/>
          <w:sz w:val="16"/>
          <w:szCs w:val="16"/>
        </w:rPr>
        <w:drawing>
          <wp:inline distT="0" distB="0" distL="0" distR="0" wp14:anchorId="0C1CE53B" wp14:editId="4B92B637">
            <wp:extent cx="2974312" cy="1949380"/>
            <wp:effectExtent l="0" t="0" r="0" b="0"/>
            <wp:docPr id="1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85FED" w:rsidRPr="00FF1D1C" w:rsidRDefault="00B85FED" w:rsidP="00B85FED">
      <w:pPr>
        <w:pStyle w:val="TextosemFormatao"/>
        <w:tabs>
          <w:tab w:val="left" w:pos="993"/>
        </w:tabs>
        <w:jc w:val="both"/>
        <w:rPr>
          <w:rFonts w:ascii="Times New Roman" w:hAnsi="Times New Roman"/>
          <w:sz w:val="18"/>
          <w:szCs w:val="18"/>
        </w:rPr>
      </w:pPr>
    </w:p>
    <w:p w:rsidR="00B85FED" w:rsidRPr="00751ADA" w:rsidRDefault="00B85FED" w:rsidP="00B85FED">
      <w:pPr>
        <w:jc w:val="both"/>
        <w:rPr>
          <w:rFonts w:ascii="Times New Roman" w:hAnsi="Times New Roman" w:cs="Times New Roman"/>
          <w:bCs/>
          <w:iCs/>
          <w:sz w:val="20"/>
          <w:szCs w:val="20"/>
        </w:rPr>
      </w:pPr>
      <w:r w:rsidRPr="00751ADA">
        <w:rPr>
          <w:rFonts w:ascii="Times New Roman" w:hAnsi="Times New Roman" w:cs="Times New Roman"/>
          <w:b/>
          <w:bCs/>
          <w:iCs/>
          <w:sz w:val="20"/>
          <w:szCs w:val="20"/>
        </w:rPr>
        <w:t xml:space="preserve">Figura 3 </w:t>
      </w:r>
      <w:r w:rsidRPr="00751ADA">
        <w:rPr>
          <w:rFonts w:ascii="Times New Roman" w:hAnsi="Times New Roman" w:cs="Times New Roman"/>
          <w:bCs/>
          <w:iCs/>
          <w:sz w:val="20"/>
          <w:szCs w:val="20"/>
        </w:rPr>
        <w:t xml:space="preserve">– Frequência (%) de largura (mm) dos frutos </w:t>
      </w:r>
      <w:proofErr w:type="spellStart"/>
      <w:r w:rsidRPr="00751ADA">
        <w:rPr>
          <w:rFonts w:ascii="Times New Roman" w:hAnsi="Times New Roman" w:cs="Times New Roman"/>
          <w:i/>
          <w:sz w:val="20"/>
          <w:szCs w:val="20"/>
          <w:shd w:val="clear" w:color="auto" w:fill="FFFFFF"/>
        </w:rPr>
        <w:t>Luetzelburgiaauriculata</w:t>
      </w:r>
      <w:proofErr w:type="spellEnd"/>
      <w:r w:rsidRPr="00751ADA">
        <w:rPr>
          <w:rFonts w:ascii="Times New Roman" w:hAnsi="Times New Roman" w:cs="Times New Roman"/>
          <w:i/>
          <w:sz w:val="20"/>
          <w:szCs w:val="20"/>
          <w:shd w:val="clear" w:color="auto" w:fill="FFFFFF"/>
        </w:rPr>
        <w:t xml:space="preserve">, </w:t>
      </w:r>
      <w:r w:rsidRPr="00751ADA">
        <w:rPr>
          <w:rFonts w:ascii="Times New Roman" w:hAnsi="Times New Roman" w:cs="Times New Roman"/>
          <w:sz w:val="20"/>
          <w:szCs w:val="20"/>
          <w:shd w:val="clear" w:color="auto" w:fill="FFFFFF"/>
        </w:rPr>
        <w:t>CSTR/UFCG, Patos-PB, 2015.</w:t>
      </w:r>
    </w:p>
    <w:p w:rsidR="00B85FED" w:rsidRPr="002B5C3E" w:rsidRDefault="00B85FED" w:rsidP="00B85FED">
      <w:pPr>
        <w:jc w:val="center"/>
        <w:rPr>
          <w:rFonts w:ascii="Times New Roman" w:hAnsi="Times New Roman" w:cs="Times New Roman"/>
          <w:sz w:val="24"/>
        </w:rPr>
      </w:pPr>
    </w:p>
    <w:p w:rsidR="00B85FED" w:rsidRPr="002B5C3E" w:rsidRDefault="00B85FED" w:rsidP="00B85FED">
      <w:pPr>
        <w:spacing w:after="0" w:line="240" w:lineRule="auto"/>
        <w:ind w:firstLine="567"/>
        <w:jc w:val="both"/>
        <w:rPr>
          <w:rFonts w:ascii="Times New Roman" w:eastAsia="Times New Roman" w:hAnsi="Times New Roman" w:cs="Times New Roman"/>
          <w:szCs w:val="20"/>
          <w:lang w:eastAsia="pt-BR"/>
        </w:rPr>
      </w:pPr>
      <w:r w:rsidRPr="002B5C3E">
        <w:rPr>
          <w:rFonts w:ascii="Times New Roman" w:hAnsi="Times New Roman" w:cs="Times New Roman"/>
          <w:szCs w:val="20"/>
        </w:rPr>
        <w:t xml:space="preserve">O comprimento das sementes variou entre 15,6 a 22,5mm, com maior concentração na classe com intervalo de 19,9 a 20,8mm, onde se enquadrou </w:t>
      </w:r>
      <w:r w:rsidRPr="002B5C3E">
        <w:rPr>
          <w:rFonts w:ascii="Times New Roman" w:hAnsi="Times New Roman" w:cs="Times New Roman"/>
          <w:bCs/>
          <w:iCs/>
          <w:szCs w:val="20"/>
        </w:rPr>
        <w:t xml:space="preserve">46% das </w:t>
      </w:r>
      <w:proofErr w:type="gramStart"/>
      <w:r w:rsidRPr="002B5C3E">
        <w:rPr>
          <w:rFonts w:ascii="Times New Roman" w:hAnsi="Times New Roman" w:cs="Times New Roman"/>
          <w:bCs/>
          <w:iCs/>
          <w:szCs w:val="20"/>
        </w:rPr>
        <w:t>sementes</w:t>
      </w:r>
      <w:r w:rsidRPr="002B5C3E">
        <w:rPr>
          <w:rFonts w:ascii="Times New Roman" w:hAnsi="Times New Roman" w:cs="Times New Roman"/>
          <w:szCs w:val="20"/>
        </w:rPr>
        <w:t>(</w:t>
      </w:r>
      <w:proofErr w:type="gramEnd"/>
      <w:r w:rsidRPr="002B5C3E">
        <w:rPr>
          <w:rFonts w:ascii="Times New Roman" w:hAnsi="Times New Roman" w:cs="Times New Roman"/>
          <w:szCs w:val="20"/>
        </w:rPr>
        <w:t>Figura 4)</w:t>
      </w:r>
      <w:r w:rsidRPr="002B5C3E">
        <w:rPr>
          <w:rFonts w:ascii="Times New Roman" w:eastAsia="Times New Roman" w:hAnsi="Times New Roman" w:cs="Times New Roman"/>
          <w:szCs w:val="20"/>
          <w:lang w:eastAsia="pt-BR"/>
        </w:rPr>
        <w:t>.</w:t>
      </w:r>
    </w:p>
    <w:p w:rsidR="00B85FED" w:rsidRPr="002B5C3E" w:rsidRDefault="00B85FED" w:rsidP="00B85FED">
      <w:pPr>
        <w:spacing w:after="0" w:line="240" w:lineRule="auto"/>
        <w:ind w:firstLine="567"/>
        <w:jc w:val="both"/>
        <w:rPr>
          <w:rFonts w:ascii="Times New Roman" w:eastAsia="Times New Roman" w:hAnsi="Times New Roman" w:cs="Times New Roman"/>
          <w:szCs w:val="20"/>
          <w:lang w:eastAsia="pt-BR"/>
        </w:rPr>
      </w:pPr>
      <w:r w:rsidRPr="002B5C3E">
        <w:rPr>
          <w:rStyle w:val="style31"/>
          <w:rFonts w:ascii="Times New Roman" w:eastAsia="Times New Roman" w:hAnsi="Times New Roman" w:cs="Times New Roman"/>
          <w:sz w:val="22"/>
          <w:szCs w:val="20"/>
        </w:rPr>
        <w:t xml:space="preserve">Segundo </w:t>
      </w:r>
      <w:proofErr w:type="spellStart"/>
      <w:r w:rsidRPr="002B5C3E">
        <w:rPr>
          <w:rFonts w:ascii="Times New Roman" w:eastAsia="MinionPro-Regular" w:hAnsi="Times New Roman" w:cs="Times New Roman"/>
          <w:szCs w:val="20"/>
        </w:rPr>
        <w:t>Lorenzi</w:t>
      </w:r>
      <w:proofErr w:type="spellEnd"/>
      <w:r w:rsidRPr="002B5C3E">
        <w:rPr>
          <w:rFonts w:ascii="Times New Roman" w:eastAsia="MinionPro-Regular" w:hAnsi="Times New Roman" w:cs="Times New Roman"/>
          <w:szCs w:val="20"/>
        </w:rPr>
        <w:t xml:space="preserve"> (2008),</w:t>
      </w:r>
      <w:r w:rsidRPr="002B5C3E">
        <w:rPr>
          <w:rStyle w:val="style31"/>
          <w:rFonts w:ascii="Times New Roman" w:eastAsia="Times New Roman" w:hAnsi="Times New Roman" w:cs="Times New Roman"/>
          <w:sz w:val="22"/>
          <w:szCs w:val="20"/>
        </w:rPr>
        <w:t xml:space="preserve"> a </w:t>
      </w:r>
      <w:r w:rsidRPr="002B5C3E">
        <w:rPr>
          <w:rFonts w:ascii="Times New Roman" w:hAnsi="Times New Roman" w:cs="Times New Roman"/>
          <w:szCs w:val="20"/>
        </w:rPr>
        <w:t xml:space="preserve">semente é oblonga a elíptica, 14,61-21,71 mm de comprimento, </w:t>
      </w:r>
      <w:proofErr w:type="spellStart"/>
      <w:r w:rsidRPr="002B5C3E">
        <w:rPr>
          <w:rFonts w:ascii="Times New Roman" w:hAnsi="Times New Roman" w:cs="Times New Roman"/>
          <w:szCs w:val="20"/>
        </w:rPr>
        <w:t>exalbulbinosa</w:t>
      </w:r>
      <w:proofErr w:type="spellEnd"/>
      <w:r w:rsidRPr="002B5C3E">
        <w:rPr>
          <w:rFonts w:ascii="Times New Roman" w:hAnsi="Times New Roman" w:cs="Times New Roman"/>
          <w:szCs w:val="20"/>
        </w:rPr>
        <w:t xml:space="preserve">, bordos arredondados e afilados na região superior. Tegumento fino com testa castanho-avermelhado, liso, brilhoso, </w:t>
      </w:r>
      <w:proofErr w:type="spellStart"/>
      <w:r w:rsidRPr="002B5C3E">
        <w:rPr>
          <w:rFonts w:ascii="Times New Roman" w:hAnsi="Times New Roman" w:cs="Times New Roman"/>
          <w:szCs w:val="20"/>
        </w:rPr>
        <w:t>tégmen</w:t>
      </w:r>
      <w:proofErr w:type="spellEnd"/>
      <w:r w:rsidRPr="002B5C3E">
        <w:rPr>
          <w:rFonts w:ascii="Times New Roman" w:hAnsi="Times New Roman" w:cs="Times New Roman"/>
          <w:szCs w:val="20"/>
        </w:rPr>
        <w:t xml:space="preserve"> esbranquiçado. Embrião axial, amarelo creme, cotilédones amarelo-claro, oblongo, liso, plúmula não visível.</w:t>
      </w:r>
    </w:p>
    <w:p w:rsidR="00B85FED" w:rsidRDefault="00B85FED" w:rsidP="00B85FED">
      <w:pPr>
        <w:jc w:val="center"/>
        <w:rPr>
          <w:rFonts w:ascii="Times New Roman" w:hAnsi="Times New Roman" w:cs="Times New Roman"/>
        </w:rPr>
      </w:pPr>
    </w:p>
    <w:p w:rsidR="00B85FED" w:rsidRDefault="00B85FED" w:rsidP="00B85FED">
      <w:pPr>
        <w:jc w:val="center"/>
        <w:rPr>
          <w:rFonts w:ascii="Times New Roman" w:hAnsi="Times New Roman" w:cs="Times New Roman"/>
        </w:rPr>
      </w:pPr>
      <w:r w:rsidRPr="00FF1D1C">
        <w:rPr>
          <w:noProof/>
          <w:sz w:val="20"/>
          <w:szCs w:val="20"/>
          <w:lang w:eastAsia="pt-BR"/>
        </w:rPr>
        <w:lastRenderedPageBreak/>
        <w:drawing>
          <wp:inline distT="0" distB="0" distL="0" distR="0" wp14:anchorId="25966C24" wp14:editId="16BF6A49">
            <wp:extent cx="3145134" cy="2150347"/>
            <wp:effectExtent l="0" t="0" r="0" b="0"/>
            <wp:docPr id="1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5FED" w:rsidRDefault="00B85FED" w:rsidP="00191AC2">
      <w:pPr>
        <w:pStyle w:val="SemEspaamento"/>
        <w:jc w:val="both"/>
        <w:rPr>
          <w:rFonts w:ascii="Times New Roman" w:hAnsi="Times New Roman" w:cs="Times New Roman"/>
          <w:sz w:val="20"/>
          <w:szCs w:val="20"/>
          <w:shd w:val="clear" w:color="auto" w:fill="FFFFFF"/>
        </w:rPr>
      </w:pPr>
      <w:r w:rsidRPr="00751ADA">
        <w:rPr>
          <w:rFonts w:ascii="Times New Roman" w:hAnsi="Times New Roman" w:cs="Times New Roman"/>
          <w:b/>
          <w:sz w:val="20"/>
          <w:szCs w:val="20"/>
          <w:lang w:eastAsia="pt-BR"/>
        </w:rPr>
        <w:t xml:space="preserve">Figura 4 – </w:t>
      </w:r>
      <w:r w:rsidRPr="00751ADA">
        <w:rPr>
          <w:rFonts w:ascii="Times New Roman" w:hAnsi="Times New Roman" w:cs="Times New Roman"/>
          <w:sz w:val="20"/>
          <w:szCs w:val="20"/>
          <w:lang w:eastAsia="pt-BR"/>
        </w:rPr>
        <w:t xml:space="preserve">Frequência (%) de comprimento (mm) de sementes de </w:t>
      </w:r>
      <w:proofErr w:type="spellStart"/>
      <w:r w:rsidRPr="00751ADA">
        <w:rPr>
          <w:rFonts w:ascii="Times New Roman" w:hAnsi="Times New Roman" w:cs="Times New Roman"/>
          <w:i/>
          <w:sz w:val="20"/>
          <w:szCs w:val="20"/>
          <w:shd w:val="clear" w:color="auto" w:fill="FFFFFF"/>
        </w:rPr>
        <w:t>Luetzelburgiaauriculata</w:t>
      </w:r>
      <w:proofErr w:type="spellEnd"/>
      <w:r w:rsidRPr="00751ADA">
        <w:rPr>
          <w:rFonts w:ascii="Times New Roman" w:hAnsi="Times New Roman" w:cs="Times New Roman"/>
          <w:i/>
          <w:sz w:val="20"/>
          <w:szCs w:val="20"/>
          <w:shd w:val="clear" w:color="auto" w:fill="FFFFFF"/>
        </w:rPr>
        <w:t xml:space="preserve">, </w:t>
      </w:r>
      <w:r w:rsidRPr="00751ADA">
        <w:rPr>
          <w:rFonts w:ascii="Times New Roman" w:hAnsi="Times New Roman" w:cs="Times New Roman"/>
          <w:sz w:val="20"/>
          <w:szCs w:val="20"/>
          <w:shd w:val="clear" w:color="auto" w:fill="FFFFFF"/>
        </w:rPr>
        <w:t>CSTR/UFCG, Patos-PB, 2015.</w:t>
      </w:r>
    </w:p>
    <w:p w:rsidR="00191AC2" w:rsidRPr="00191AC2" w:rsidRDefault="00191AC2" w:rsidP="00191AC2">
      <w:pPr>
        <w:pStyle w:val="SemEspaamento"/>
        <w:jc w:val="both"/>
        <w:rPr>
          <w:rFonts w:ascii="Times New Roman" w:hAnsi="Times New Roman" w:cs="Times New Roman"/>
          <w:sz w:val="20"/>
          <w:szCs w:val="20"/>
        </w:rPr>
      </w:pPr>
    </w:p>
    <w:p w:rsidR="00B85FED" w:rsidRPr="002B5C3E" w:rsidRDefault="00B85FED" w:rsidP="00B85FED">
      <w:pPr>
        <w:pStyle w:val="SemEspaamento"/>
        <w:ind w:firstLine="708"/>
        <w:jc w:val="both"/>
        <w:rPr>
          <w:rFonts w:ascii="Times New Roman" w:hAnsi="Times New Roman" w:cs="Times New Roman"/>
          <w:bCs/>
          <w:iCs/>
          <w:szCs w:val="20"/>
        </w:rPr>
      </w:pPr>
      <w:r w:rsidRPr="002B5C3E">
        <w:rPr>
          <w:rFonts w:ascii="Times New Roman" w:hAnsi="Times New Roman" w:cs="Times New Roman"/>
          <w:szCs w:val="20"/>
        </w:rPr>
        <w:t>As sementes com maiores dimensões foram mais bem nutridas durante o seu desenvolvimento, possuindo embrião bem formado e com maior quantidade de substâncias de reserva sendo, provavelmente, as mais vigorosas (CARVALHO, et al., 2000). Sementes com maiores dimensões têm sido correlacionadas com maiores taxas de crescimento inicial de plântulas, o que aumentaria a probabilidade de sucesso durante o seu estabelecimento, uma vez que o rápido crescimento de raiz e parte aérea possibilitariam à planta aproveitar as reservas nutricionais e hídricas do solo e realizar a fotossíntese (ALVES, et al., 2005).</w:t>
      </w:r>
    </w:p>
    <w:p w:rsidR="00B85FED" w:rsidRPr="002B5C3E" w:rsidRDefault="00B85FED" w:rsidP="00B85FED">
      <w:pPr>
        <w:spacing w:after="0" w:line="240" w:lineRule="auto"/>
        <w:jc w:val="both"/>
        <w:rPr>
          <w:rFonts w:ascii="Times New Roman" w:eastAsia="Times New Roman" w:hAnsi="Times New Roman" w:cs="Times New Roman"/>
          <w:szCs w:val="20"/>
          <w:lang w:eastAsia="pt-BR"/>
        </w:rPr>
      </w:pPr>
      <w:r w:rsidRPr="002B5C3E">
        <w:rPr>
          <w:rFonts w:ascii="Times New Roman" w:hAnsi="Times New Roman" w:cs="Times New Roman"/>
          <w:szCs w:val="20"/>
        </w:rPr>
        <w:tab/>
      </w:r>
      <w:r w:rsidRPr="002B5C3E">
        <w:rPr>
          <w:rFonts w:ascii="Times New Roman" w:eastAsia="Times New Roman" w:hAnsi="Times New Roman" w:cs="Times New Roman"/>
          <w:szCs w:val="20"/>
          <w:lang w:eastAsia="pt-BR"/>
        </w:rPr>
        <w:t xml:space="preserve">Para a espessura, a classe com dimensões variando entre 2,3 a 6,3 mm apresentou uma maior frequência e variação de 4,3 a 4,8 mm, </w:t>
      </w:r>
      <w:r w:rsidRPr="002B5C3E">
        <w:rPr>
          <w:rFonts w:ascii="Times New Roman" w:hAnsi="Times New Roman" w:cs="Times New Roman"/>
          <w:bCs/>
          <w:iCs/>
          <w:szCs w:val="20"/>
        </w:rPr>
        <w:t>onde se enquadrou 35% das sementes</w:t>
      </w:r>
      <w:r w:rsidR="00191AC2" w:rsidRPr="002B5C3E">
        <w:rPr>
          <w:rFonts w:ascii="Times New Roman" w:hAnsi="Times New Roman" w:cs="Times New Roman"/>
          <w:bCs/>
          <w:iCs/>
          <w:szCs w:val="20"/>
        </w:rPr>
        <w:t xml:space="preserve"> </w:t>
      </w:r>
      <w:r w:rsidRPr="002B5C3E">
        <w:rPr>
          <w:rFonts w:ascii="Times New Roman" w:hAnsi="Times New Roman" w:cs="Times New Roman"/>
          <w:szCs w:val="20"/>
        </w:rPr>
        <w:t>(Figura 5)</w:t>
      </w:r>
      <w:r w:rsidRPr="002B5C3E">
        <w:rPr>
          <w:rFonts w:ascii="Times New Roman" w:eastAsia="Times New Roman" w:hAnsi="Times New Roman" w:cs="Times New Roman"/>
          <w:szCs w:val="20"/>
          <w:lang w:eastAsia="pt-BR"/>
        </w:rPr>
        <w:t xml:space="preserve">. As sementes com maior espessura podem ser referidas como as que possivelmente apresentam a maior qualidade fisiológica. </w:t>
      </w:r>
      <w:proofErr w:type="spellStart"/>
      <w:r w:rsidRPr="002B5C3E">
        <w:rPr>
          <w:rFonts w:ascii="Times New Roman" w:eastAsia="Times New Roman" w:hAnsi="Times New Roman" w:cs="Times New Roman"/>
          <w:szCs w:val="20"/>
          <w:lang w:eastAsia="pt-BR"/>
        </w:rPr>
        <w:t>Biruel</w:t>
      </w:r>
      <w:proofErr w:type="spellEnd"/>
      <w:r w:rsidRPr="002B5C3E">
        <w:rPr>
          <w:rFonts w:ascii="Times New Roman" w:eastAsia="Times New Roman" w:hAnsi="Times New Roman" w:cs="Times New Roman"/>
          <w:szCs w:val="20"/>
          <w:lang w:eastAsia="pt-BR"/>
        </w:rPr>
        <w:t>, Paula e Aguiar (2010), avaliando a germinação de pau-ferro em função do tamanho e forma das sementes, constataram que as sementes de maior espessura e de formato arredondado apresentam maior qualidade fisiológica, refletindo-se na germinação.</w:t>
      </w:r>
    </w:p>
    <w:p w:rsidR="00B85FED" w:rsidRDefault="00B85FED" w:rsidP="00B85FED">
      <w:pPr>
        <w:jc w:val="center"/>
        <w:rPr>
          <w:rFonts w:ascii="Times New Roman" w:hAnsi="Times New Roman" w:cs="Times New Roman"/>
        </w:rPr>
      </w:pPr>
      <w:r w:rsidRPr="00FF1D1C">
        <w:rPr>
          <w:noProof/>
          <w:lang w:eastAsia="pt-BR"/>
        </w:rPr>
        <w:drawing>
          <wp:inline distT="0" distB="0" distL="0" distR="0" wp14:anchorId="7026E70F" wp14:editId="1F7B2B41">
            <wp:extent cx="2964264" cy="2069960"/>
            <wp:effectExtent l="0" t="0" r="0" b="0"/>
            <wp:docPr id="2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5FED" w:rsidRPr="00751ADA" w:rsidRDefault="00B85FED" w:rsidP="00B85FED">
      <w:pPr>
        <w:jc w:val="both"/>
        <w:rPr>
          <w:rFonts w:ascii="Times New Roman" w:hAnsi="Times New Roman" w:cs="Times New Roman"/>
          <w:i/>
          <w:sz w:val="20"/>
          <w:szCs w:val="20"/>
          <w:shd w:val="clear" w:color="auto" w:fill="FFFFFF"/>
        </w:rPr>
      </w:pPr>
      <w:r w:rsidRPr="00751ADA">
        <w:rPr>
          <w:rFonts w:ascii="Times New Roman" w:eastAsia="Times New Roman" w:hAnsi="Times New Roman" w:cs="Times New Roman"/>
          <w:b/>
          <w:sz w:val="20"/>
          <w:szCs w:val="20"/>
          <w:lang w:eastAsia="pt-BR"/>
        </w:rPr>
        <w:t xml:space="preserve">Figura 5 – </w:t>
      </w:r>
      <w:r w:rsidRPr="00751ADA">
        <w:rPr>
          <w:rFonts w:ascii="Times New Roman" w:eastAsia="Times New Roman" w:hAnsi="Times New Roman" w:cs="Times New Roman"/>
          <w:sz w:val="20"/>
          <w:szCs w:val="20"/>
          <w:lang w:eastAsia="pt-BR"/>
        </w:rPr>
        <w:t xml:space="preserve">Frequência (%) de espessura (mm) de sementes de </w:t>
      </w:r>
      <w:proofErr w:type="spellStart"/>
      <w:r w:rsidRPr="00751ADA">
        <w:rPr>
          <w:rFonts w:ascii="Times New Roman" w:hAnsi="Times New Roman" w:cs="Times New Roman"/>
          <w:i/>
          <w:sz w:val="20"/>
          <w:szCs w:val="20"/>
          <w:shd w:val="clear" w:color="auto" w:fill="FFFFFF"/>
        </w:rPr>
        <w:t>Luetzelburgia</w:t>
      </w:r>
      <w:proofErr w:type="spellEnd"/>
      <w:r w:rsidR="00191AC2">
        <w:rPr>
          <w:rFonts w:ascii="Times New Roman" w:hAnsi="Times New Roman" w:cs="Times New Roman"/>
          <w:i/>
          <w:sz w:val="20"/>
          <w:szCs w:val="20"/>
          <w:shd w:val="clear" w:color="auto" w:fill="FFFFFF"/>
        </w:rPr>
        <w:t xml:space="preserve"> </w:t>
      </w:r>
      <w:proofErr w:type="spellStart"/>
      <w:r w:rsidRPr="00751ADA">
        <w:rPr>
          <w:rFonts w:ascii="Times New Roman" w:hAnsi="Times New Roman" w:cs="Times New Roman"/>
          <w:i/>
          <w:sz w:val="20"/>
          <w:szCs w:val="20"/>
          <w:shd w:val="clear" w:color="auto" w:fill="FFFFFF"/>
        </w:rPr>
        <w:t>auriculata</w:t>
      </w:r>
      <w:proofErr w:type="spellEnd"/>
      <w:r w:rsidRPr="00751ADA">
        <w:rPr>
          <w:rFonts w:ascii="Times New Roman" w:hAnsi="Times New Roman" w:cs="Times New Roman"/>
          <w:i/>
          <w:sz w:val="20"/>
          <w:szCs w:val="20"/>
          <w:shd w:val="clear" w:color="auto" w:fill="FFFFFF"/>
        </w:rPr>
        <w:t xml:space="preserve">, </w:t>
      </w:r>
      <w:r w:rsidRPr="00751ADA">
        <w:rPr>
          <w:rFonts w:ascii="Times New Roman" w:hAnsi="Times New Roman" w:cs="Times New Roman"/>
          <w:sz w:val="20"/>
          <w:szCs w:val="20"/>
          <w:shd w:val="clear" w:color="auto" w:fill="FFFFFF"/>
        </w:rPr>
        <w:t>CSTR/UFCG, Patos-PB, 2015.</w:t>
      </w:r>
    </w:p>
    <w:p w:rsidR="00B85FED" w:rsidRDefault="00B85FED" w:rsidP="00B85FED">
      <w:pPr>
        <w:jc w:val="center"/>
        <w:rPr>
          <w:rFonts w:ascii="Times New Roman" w:hAnsi="Times New Roman" w:cs="Times New Roman"/>
        </w:rPr>
      </w:pPr>
    </w:p>
    <w:p w:rsidR="00B85FED" w:rsidRPr="002B5C3E" w:rsidRDefault="00B85FED" w:rsidP="00B85FED">
      <w:pPr>
        <w:spacing w:after="0" w:line="240" w:lineRule="auto"/>
        <w:ind w:firstLine="708"/>
        <w:jc w:val="both"/>
        <w:rPr>
          <w:rFonts w:ascii="Times New Roman" w:eastAsia="Times New Roman" w:hAnsi="Times New Roman" w:cs="Times New Roman"/>
          <w:szCs w:val="20"/>
          <w:lang w:eastAsia="pt-BR"/>
        </w:rPr>
      </w:pPr>
      <w:r w:rsidRPr="002B5C3E">
        <w:rPr>
          <w:rFonts w:ascii="Times New Roman" w:eastAsia="Times New Roman" w:hAnsi="Times New Roman" w:cs="Times New Roman"/>
          <w:szCs w:val="20"/>
          <w:lang w:eastAsia="pt-BR"/>
        </w:rPr>
        <w:t xml:space="preserve">Quanto à largura, observou-se que houve uma variação de 5,7 a 12,00 mm, maior frequência na classe de intervalo de 9,6 a 10,4 mm, </w:t>
      </w:r>
      <w:r w:rsidRPr="002B5C3E">
        <w:rPr>
          <w:rFonts w:ascii="Times New Roman" w:hAnsi="Times New Roman" w:cs="Times New Roman"/>
          <w:bCs/>
          <w:iCs/>
          <w:szCs w:val="20"/>
        </w:rPr>
        <w:t>prevaleceu com 32,5</w:t>
      </w:r>
      <w:r w:rsidRPr="002B5C3E">
        <w:rPr>
          <w:rFonts w:ascii="Times New Roman" w:eastAsia="Calibri" w:hAnsi="Times New Roman" w:cs="Times New Roman"/>
          <w:bCs/>
          <w:iCs/>
          <w:szCs w:val="20"/>
        </w:rPr>
        <w:t>% d</w:t>
      </w:r>
      <w:r w:rsidRPr="002B5C3E">
        <w:rPr>
          <w:rFonts w:ascii="Times New Roman" w:hAnsi="Times New Roman" w:cs="Times New Roman"/>
          <w:bCs/>
          <w:iCs/>
          <w:szCs w:val="20"/>
        </w:rPr>
        <w:t>as sementes</w:t>
      </w:r>
      <w:r w:rsidR="002B5C3E">
        <w:rPr>
          <w:rFonts w:ascii="Times New Roman" w:hAnsi="Times New Roman" w:cs="Times New Roman"/>
          <w:bCs/>
          <w:iCs/>
          <w:szCs w:val="20"/>
        </w:rPr>
        <w:t xml:space="preserve"> </w:t>
      </w:r>
      <w:r w:rsidRPr="002B5C3E">
        <w:rPr>
          <w:rFonts w:ascii="Times New Roman" w:eastAsia="Times New Roman" w:hAnsi="Times New Roman" w:cs="Times New Roman"/>
          <w:szCs w:val="20"/>
          <w:lang w:eastAsia="pt-BR"/>
        </w:rPr>
        <w:t>(Figura 6).</w:t>
      </w:r>
    </w:p>
    <w:p w:rsidR="00B85FED" w:rsidRPr="002B5C3E" w:rsidRDefault="00B85FED" w:rsidP="00B85FED">
      <w:pPr>
        <w:spacing w:after="0" w:line="240" w:lineRule="auto"/>
        <w:ind w:firstLine="708"/>
        <w:jc w:val="both"/>
        <w:rPr>
          <w:rFonts w:ascii="Times New Roman" w:eastAsia="Times New Roman" w:hAnsi="Times New Roman" w:cs="Times New Roman"/>
          <w:szCs w:val="20"/>
          <w:lang w:eastAsia="pt-BR"/>
        </w:rPr>
      </w:pPr>
    </w:p>
    <w:p w:rsidR="00B85FED" w:rsidRDefault="00B85FED" w:rsidP="00B85FED">
      <w:pPr>
        <w:jc w:val="center"/>
        <w:rPr>
          <w:rFonts w:ascii="Times New Roman" w:hAnsi="Times New Roman" w:cs="Times New Roman"/>
        </w:rPr>
      </w:pPr>
      <w:r w:rsidRPr="00FF1D1C">
        <w:rPr>
          <w:rFonts w:ascii="Times New Roman" w:hAnsi="Times New Roman" w:cs="Times New Roman"/>
          <w:i/>
          <w:noProof/>
          <w:sz w:val="20"/>
          <w:szCs w:val="20"/>
          <w:shd w:val="clear" w:color="auto" w:fill="FFFFFF"/>
          <w:lang w:eastAsia="pt-BR"/>
        </w:rPr>
        <w:lastRenderedPageBreak/>
        <w:drawing>
          <wp:inline distT="0" distB="0" distL="0" distR="0" wp14:anchorId="44B15064" wp14:editId="6165DDD9">
            <wp:extent cx="3175280" cy="2039815"/>
            <wp:effectExtent l="0" t="0" r="0" b="0"/>
            <wp:docPr id="2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5FED" w:rsidRPr="00751ADA" w:rsidRDefault="00B85FED" w:rsidP="00B85FED">
      <w:pPr>
        <w:spacing w:after="0"/>
        <w:jc w:val="both"/>
        <w:rPr>
          <w:rFonts w:ascii="Times New Roman" w:hAnsi="Times New Roman" w:cs="Times New Roman"/>
          <w:i/>
          <w:sz w:val="20"/>
          <w:szCs w:val="20"/>
          <w:shd w:val="clear" w:color="auto" w:fill="FFFFFF"/>
        </w:rPr>
      </w:pPr>
      <w:r w:rsidRPr="00751ADA">
        <w:rPr>
          <w:rFonts w:ascii="Times New Roman" w:eastAsia="Times New Roman" w:hAnsi="Times New Roman" w:cs="Times New Roman"/>
          <w:b/>
          <w:sz w:val="20"/>
          <w:szCs w:val="20"/>
          <w:lang w:eastAsia="pt-BR"/>
        </w:rPr>
        <w:t xml:space="preserve">Figura 6 – </w:t>
      </w:r>
      <w:r w:rsidRPr="00751ADA">
        <w:rPr>
          <w:rFonts w:ascii="Times New Roman" w:eastAsia="Times New Roman" w:hAnsi="Times New Roman" w:cs="Times New Roman"/>
          <w:sz w:val="20"/>
          <w:szCs w:val="20"/>
          <w:lang w:eastAsia="pt-BR"/>
        </w:rPr>
        <w:t xml:space="preserve">Frequência (%) de largura (mm) de sementes de </w:t>
      </w:r>
      <w:proofErr w:type="spellStart"/>
      <w:r w:rsidRPr="00751ADA">
        <w:rPr>
          <w:rFonts w:ascii="Times New Roman" w:hAnsi="Times New Roman" w:cs="Times New Roman"/>
          <w:i/>
          <w:sz w:val="20"/>
          <w:szCs w:val="20"/>
          <w:shd w:val="clear" w:color="auto" w:fill="FFFFFF"/>
        </w:rPr>
        <w:t>Luetzelburgia</w:t>
      </w:r>
      <w:proofErr w:type="spellEnd"/>
      <w:r>
        <w:rPr>
          <w:rFonts w:ascii="Times New Roman" w:hAnsi="Times New Roman" w:cs="Times New Roman"/>
          <w:i/>
          <w:sz w:val="20"/>
          <w:szCs w:val="20"/>
          <w:shd w:val="clear" w:color="auto" w:fill="FFFFFF"/>
        </w:rPr>
        <w:t xml:space="preserve"> </w:t>
      </w:r>
      <w:proofErr w:type="spellStart"/>
      <w:r w:rsidRPr="00751ADA">
        <w:rPr>
          <w:rFonts w:ascii="Times New Roman" w:hAnsi="Times New Roman" w:cs="Times New Roman"/>
          <w:i/>
          <w:sz w:val="20"/>
          <w:szCs w:val="20"/>
          <w:shd w:val="clear" w:color="auto" w:fill="FFFFFF"/>
        </w:rPr>
        <w:t>auriculata</w:t>
      </w:r>
      <w:proofErr w:type="spellEnd"/>
      <w:r w:rsidRPr="00751ADA">
        <w:rPr>
          <w:rFonts w:ascii="Times New Roman" w:hAnsi="Times New Roman" w:cs="Times New Roman"/>
          <w:i/>
          <w:sz w:val="20"/>
          <w:szCs w:val="20"/>
          <w:shd w:val="clear" w:color="auto" w:fill="FFFFFF"/>
        </w:rPr>
        <w:t xml:space="preserve">, </w:t>
      </w:r>
      <w:r w:rsidRPr="00751ADA">
        <w:rPr>
          <w:rFonts w:ascii="Times New Roman" w:hAnsi="Times New Roman" w:cs="Times New Roman"/>
          <w:sz w:val="20"/>
          <w:szCs w:val="20"/>
          <w:shd w:val="clear" w:color="auto" w:fill="FFFFFF"/>
        </w:rPr>
        <w:t>CSTR/UFCG, Patos-PB, 2015.</w:t>
      </w:r>
    </w:p>
    <w:p w:rsidR="00B85FED" w:rsidRPr="002B5C3E" w:rsidRDefault="00B85FED" w:rsidP="00B85FED">
      <w:pPr>
        <w:autoSpaceDE w:val="0"/>
        <w:autoSpaceDN w:val="0"/>
        <w:adjustRightInd w:val="0"/>
        <w:spacing w:after="0" w:line="240" w:lineRule="auto"/>
        <w:ind w:firstLine="708"/>
        <w:jc w:val="both"/>
        <w:rPr>
          <w:rFonts w:ascii="Times New Roman" w:eastAsia="MinionPro-Regular" w:hAnsi="Times New Roman" w:cs="Times New Roman"/>
          <w:szCs w:val="20"/>
        </w:rPr>
      </w:pPr>
      <w:r w:rsidRPr="002B5C3E">
        <w:rPr>
          <w:rFonts w:ascii="Times New Roman" w:eastAsia="MinionPro-Regular" w:hAnsi="Times New Roman" w:cs="Times New Roman"/>
          <w:szCs w:val="20"/>
        </w:rPr>
        <w:t xml:space="preserve">Os dados biométricos das sementes obtidos no presente estudo foram semelhantes aos registrados por Nogueira et al. (2012), onde relataram que as sementes de </w:t>
      </w:r>
      <w:proofErr w:type="spellStart"/>
      <w:r w:rsidRPr="002B5C3E">
        <w:rPr>
          <w:rFonts w:ascii="Times New Roman" w:eastAsia="MinionPro-Regular" w:hAnsi="Times New Roman" w:cs="Times New Roman"/>
          <w:i/>
          <w:iCs/>
          <w:szCs w:val="20"/>
        </w:rPr>
        <w:t>Luetzelburgia</w:t>
      </w:r>
      <w:proofErr w:type="spellEnd"/>
      <w:r w:rsidRPr="002B5C3E">
        <w:rPr>
          <w:rFonts w:ascii="Times New Roman" w:eastAsia="MinionPro-Regular" w:hAnsi="Times New Roman" w:cs="Times New Roman"/>
          <w:i/>
          <w:iCs/>
          <w:szCs w:val="20"/>
        </w:rPr>
        <w:t xml:space="preserve"> </w:t>
      </w:r>
      <w:proofErr w:type="spellStart"/>
      <w:r w:rsidRPr="002B5C3E">
        <w:rPr>
          <w:rFonts w:ascii="Times New Roman" w:eastAsia="MinionPro-Regular" w:hAnsi="Times New Roman" w:cs="Times New Roman"/>
          <w:i/>
          <w:iCs/>
          <w:szCs w:val="20"/>
        </w:rPr>
        <w:t>auriculata</w:t>
      </w:r>
      <w:proofErr w:type="spellEnd"/>
      <w:r w:rsidRPr="002B5C3E">
        <w:rPr>
          <w:rFonts w:ascii="Times New Roman" w:eastAsia="MinionPro-Regular" w:hAnsi="Times New Roman" w:cs="Times New Roman"/>
          <w:i/>
          <w:iCs/>
          <w:szCs w:val="20"/>
        </w:rPr>
        <w:t xml:space="preserve"> </w:t>
      </w:r>
      <w:r w:rsidRPr="002B5C3E">
        <w:rPr>
          <w:rFonts w:ascii="Times New Roman" w:eastAsia="MinionPro-Regular" w:hAnsi="Times New Roman" w:cs="Times New Roman"/>
          <w:szCs w:val="20"/>
        </w:rPr>
        <w:t xml:space="preserve">apresentam </w:t>
      </w:r>
      <w:proofErr w:type="spellStart"/>
      <w:r w:rsidRPr="002B5C3E">
        <w:rPr>
          <w:rFonts w:ascii="Times New Roman" w:eastAsia="MinionPro-Regular" w:hAnsi="Times New Roman" w:cs="Times New Roman"/>
          <w:szCs w:val="20"/>
        </w:rPr>
        <w:t>desuniformidade</w:t>
      </w:r>
      <w:proofErr w:type="spellEnd"/>
      <w:r w:rsidRPr="002B5C3E">
        <w:rPr>
          <w:rFonts w:ascii="Times New Roman" w:eastAsia="MinionPro-Regular" w:hAnsi="Times New Roman" w:cs="Times New Roman"/>
          <w:szCs w:val="20"/>
        </w:rPr>
        <w:t xml:space="preserve"> quanto ao tamanho, apresentando variação no comprimento (17,14 a 21,76 mm), largura (9,07 a 11,73 mm) e espessura (3,95 a 6,49 mm).</w:t>
      </w:r>
    </w:p>
    <w:p w:rsidR="00B85FED" w:rsidRPr="002B5C3E" w:rsidRDefault="00B85FED" w:rsidP="00B85FED">
      <w:pPr>
        <w:autoSpaceDE w:val="0"/>
        <w:autoSpaceDN w:val="0"/>
        <w:adjustRightInd w:val="0"/>
        <w:spacing w:after="0" w:line="240" w:lineRule="auto"/>
        <w:ind w:firstLine="708"/>
        <w:jc w:val="both"/>
        <w:rPr>
          <w:rFonts w:ascii="Times New Roman" w:hAnsi="Times New Roman" w:cs="Times New Roman"/>
          <w:szCs w:val="20"/>
        </w:rPr>
      </w:pPr>
      <w:r w:rsidRPr="002B5C3E">
        <w:rPr>
          <w:rFonts w:ascii="Times New Roman" w:hAnsi="Times New Roman" w:cs="Times New Roman"/>
          <w:szCs w:val="20"/>
        </w:rPr>
        <w:t>Para Vieira e Gusmão (2008) as variações biométricas podem ser decorrentes de variabilidade genética ou de plasticidade fenotípica ou, ainda, representar uma variedade da espécie.</w:t>
      </w:r>
    </w:p>
    <w:p w:rsidR="00B85FED" w:rsidRPr="002B5C3E" w:rsidRDefault="00B85FED" w:rsidP="00B85FED">
      <w:pPr>
        <w:autoSpaceDE w:val="0"/>
        <w:autoSpaceDN w:val="0"/>
        <w:adjustRightInd w:val="0"/>
        <w:spacing w:after="0" w:line="240" w:lineRule="auto"/>
        <w:ind w:firstLine="567"/>
        <w:jc w:val="both"/>
        <w:rPr>
          <w:rFonts w:ascii="Times New Roman" w:hAnsi="Times New Roman" w:cs="Times New Roman"/>
          <w:sz w:val="24"/>
        </w:rPr>
      </w:pPr>
      <w:r w:rsidRPr="002B5C3E">
        <w:rPr>
          <w:rFonts w:ascii="Times New Roman" w:hAnsi="Times New Roman" w:cs="Times New Roman"/>
          <w:szCs w:val="20"/>
        </w:rPr>
        <w:t>Braga et al. (2013) reforçam que é de fundamental importância conhecer as características biométricas como subsídio à diferenciação de espécies no gênero, na relação desta variabilidade com fatores do ambiente</w:t>
      </w:r>
    </w:p>
    <w:p w:rsidR="00B85FED" w:rsidRPr="002B5C3E" w:rsidRDefault="00B85FED" w:rsidP="00B85FED">
      <w:pPr>
        <w:autoSpaceDE w:val="0"/>
        <w:autoSpaceDN w:val="0"/>
        <w:adjustRightInd w:val="0"/>
        <w:spacing w:after="0" w:line="240" w:lineRule="auto"/>
        <w:ind w:firstLine="567"/>
        <w:jc w:val="both"/>
        <w:rPr>
          <w:rFonts w:ascii="Times New Roman" w:eastAsia="MinionPro-Regular" w:hAnsi="Times New Roman" w:cs="Times New Roman"/>
          <w:szCs w:val="20"/>
        </w:rPr>
      </w:pPr>
      <w:r w:rsidRPr="002B5C3E">
        <w:rPr>
          <w:rFonts w:ascii="Times New Roman" w:eastAsia="MinionPro-Regular" w:hAnsi="Times New Roman" w:cs="Times New Roman"/>
          <w:szCs w:val="20"/>
        </w:rPr>
        <w:t>As sementes que apresentam maior comprimento, espessura e largura caracterizam-se como as mais vigorosas, isto em virtude da maior concentração de reservas, consequentemente são mais viáveis para a produção de mudas. O tamanho da semente é um os fatores que podem influenciar no crescimento e desenvolvimento de mudas, uma vez que as sementes maiores apresentam maior conteúdo de reserva em seus cotilédones, refletindo-se em um maior crescimento da planta, possibilitando sucesso na formação da muda (</w:t>
      </w:r>
      <w:r w:rsidRPr="002B5C3E">
        <w:rPr>
          <w:rFonts w:ascii="Times New Roman" w:hAnsi="Times New Roman" w:cs="Times New Roman"/>
          <w:szCs w:val="20"/>
        </w:rPr>
        <w:t>NIETSCHE et al., 2004).</w:t>
      </w:r>
    </w:p>
    <w:p w:rsidR="00B85FED" w:rsidRPr="002B5C3E" w:rsidRDefault="00B85FED" w:rsidP="00B85FED">
      <w:pPr>
        <w:autoSpaceDE w:val="0"/>
        <w:autoSpaceDN w:val="0"/>
        <w:adjustRightInd w:val="0"/>
        <w:spacing w:after="0" w:line="240" w:lineRule="auto"/>
        <w:ind w:firstLine="567"/>
        <w:jc w:val="both"/>
        <w:rPr>
          <w:rFonts w:ascii="Times New Roman" w:eastAsia="MinionPro-Regular" w:hAnsi="Times New Roman" w:cs="Times New Roman"/>
          <w:szCs w:val="20"/>
        </w:rPr>
      </w:pPr>
      <w:r w:rsidRPr="002B5C3E">
        <w:rPr>
          <w:rFonts w:ascii="Times New Roman" w:eastAsia="MinionPro-Regular" w:hAnsi="Times New Roman" w:cs="Times New Roman"/>
          <w:szCs w:val="20"/>
        </w:rPr>
        <w:t xml:space="preserve">O peso das sementes variou de 0,13 g a 0,60 g, conforme apresentado na figura 7. Observa-se que </w:t>
      </w:r>
      <w:proofErr w:type="gramStart"/>
      <w:r w:rsidRPr="002B5C3E">
        <w:rPr>
          <w:rFonts w:ascii="Times New Roman" w:eastAsia="MinionPro-Regular" w:hAnsi="Times New Roman" w:cs="Times New Roman"/>
          <w:szCs w:val="20"/>
        </w:rPr>
        <w:t>registrou-se</w:t>
      </w:r>
      <w:proofErr w:type="gramEnd"/>
      <w:r w:rsidRPr="002B5C3E">
        <w:rPr>
          <w:rFonts w:ascii="Times New Roman" w:eastAsia="MinionPro-Regular" w:hAnsi="Times New Roman" w:cs="Times New Roman"/>
          <w:szCs w:val="20"/>
        </w:rPr>
        <w:t xml:space="preserve"> maior frequência na classe de 0,34g a 0,40g,</w:t>
      </w:r>
      <w:r w:rsidRPr="002B5C3E">
        <w:rPr>
          <w:rFonts w:ascii="Times New Roman" w:hAnsi="Times New Roman" w:cs="Times New Roman"/>
          <w:bCs/>
          <w:iCs/>
          <w:szCs w:val="20"/>
        </w:rPr>
        <w:t xml:space="preserve"> com 37,5</w:t>
      </w:r>
      <w:r w:rsidRPr="002B5C3E">
        <w:rPr>
          <w:rFonts w:ascii="Times New Roman" w:eastAsia="Calibri" w:hAnsi="Times New Roman" w:cs="Times New Roman"/>
          <w:bCs/>
          <w:iCs/>
          <w:szCs w:val="20"/>
        </w:rPr>
        <w:t xml:space="preserve">% </w:t>
      </w:r>
      <w:r w:rsidRPr="002B5C3E">
        <w:rPr>
          <w:rFonts w:ascii="Times New Roman" w:hAnsi="Times New Roman" w:cs="Times New Roman"/>
          <w:bCs/>
          <w:iCs/>
          <w:szCs w:val="20"/>
        </w:rPr>
        <w:t>das sementes</w:t>
      </w:r>
      <w:r w:rsidRPr="002B5C3E">
        <w:rPr>
          <w:rFonts w:ascii="Times New Roman" w:eastAsia="MinionPro-Regular" w:hAnsi="Times New Roman" w:cs="Times New Roman"/>
          <w:szCs w:val="20"/>
        </w:rPr>
        <w:t>. O peso médio da semente foi de 0,79g, enquanto o peso de 1.000 sementes foi de 437,53 g, com 4,35% de umidade, em um quilograma de semente contem 2.103 sementes.</w:t>
      </w:r>
    </w:p>
    <w:p w:rsidR="00B85FED" w:rsidRPr="002B5C3E" w:rsidRDefault="00B85FED" w:rsidP="00B85FED">
      <w:pPr>
        <w:jc w:val="center"/>
        <w:rPr>
          <w:rFonts w:ascii="Times New Roman" w:hAnsi="Times New Roman" w:cs="Times New Roman"/>
          <w:sz w:val="24"/>
        </w:rPr>
      </w:pPr>
    </w:p>
    <w:p w:rsidR="00B85FED" w:rsidRDefault="00B85FED" w:rsidP="00B85FED">
      <w:pPr>
        <w:jc w:val="center"/>
        <w:rPr>
          <w:rFonts w:ascii="Times New Roman" w:hAnsi="Times New Roman" w:cs="Times New Roman"/>
        </w:rPr>
      </w:pPr>
      <w:r w:rsidRPr="00FF1D1C">
        <w:rPr>
          <w:rFonts w:ascii="Times New Roman" w:eastAsia="MinionPro-Regular" w:hAnsi="Times New Roman" w:cs="Times New Roman"/>
          <w:noProof/>
          <w:sz w:val="20"/>
          <w:szCs w:val="20"/>
          <w:lang w:eastAsia="pt-BR"/>
        </w:rPr>
        <w:drawing>
          <wp:inline distT="0" distB="0" distL="0" distR="0" wp14:anchorId="27B93054" wp14:editId="067FDC2A">
            <wp:extent cx="2969895" cy="1984310"/>
            <wp:effectExtent l="0" t="0" r="0" b="0"/>
            <wp:docPr id="1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5FED" w:rsidRPr="00751ADA" w:rsidRDefault="00B85FED" w:rsidP="00B85FED">
      <w:pPr>
        <w:autoSpaceDE w:val="0"/>
        <w:autoSpaceDN w:val="0"/>
        <w:adjustRightInd w:val="0"/>
        <w:spacing w:after="0" w:line="240" w:lineRule="auto"/>
        <w:jc w:val="both"/>
        <w:rPr>
          <w:rFonts w:ascii="Times New Roman" w:eastAsia="MinionPro-Regular" w:hAnsi="Times New Roman" w:cs="Times New Roman"/>
          <w:sz w:val="20"/>
          <w:szCs w:val="20"/>
        </w:rPr>
      </w:pPr>
      <w:r w:rsidRPr="00751ADA">
        <w:rPr>
          <w:rFonts w:ascii="Times New Roman" w:hAnsi="Times New Roman" w:cs="Times New Roman"/>
          <w:b/>
          <w:sz w:val="20"/>
          <w:szCs w:val="20"/>
          <w:lang w:eastAsia="pt-BR"/>
        </w:rPr>
        <w:t xml:space="preserve">Figura 7 – </w:t>
      </w:r>
      <w:r w:rsidRPr="00751ADA">
        <w:rPr>
          <w:rFonts w:ascii="Times New Roman" w:hAnsi="Times New Roman" w:cs="Times New Roman"/>
          <w:sz w:val="20"/>
          <w:szCs w:val="20"/>
          <w:lang w:eastAsia="pt-BR"/>
        </w:rPr>
        <w:t xml:space="preserve">Frequência (%) de peso (g) de sementes de </w:t>
      </w:r>
      <w:proofErr w:type="spellStart"/>
      <w:r w:rsidRPr="00751ADA">
        <w:rPr>
          <w:rFonts w:ascii="Times New Roman" w:hAnsi="Times New Roman" w:cs="Times New Roman"/>
          <w:i/>
          <w:sz w:val="20"/>
          <w:szCs w:val="20"/>
          <w:shd w:val="clear" w:color="auto" w:fill="FFFFFF"/>
        </w:rPr>
        <w:t>Luetzelburgia</w:t>
      </w:r>
      <w:proofErr w:type="spellEnd"/>
      <w:r>
        <w:rPr>
          <w:rFonts w:ascii="Times New Roman" w:hAnsi="Times New Roman" w:cs="Times New Roman"/>
          <w:i/>
          <w:sz w:val="20"/>
          <w:szCs w:val="20"/>
          <w:shd w:val="clear" w:color="auto" w:fill="FFFFFF"/>
        </w:rPr>
        <w:t xml:space="preserve"> </w:t>
      </w:r>
      <w:proofErr w:type="spellStart"/>
      <w:r w:rsidRPr="00751ADA">
        <w:rPr>
          <w:rFonts w:ascii="Times New Roman" w:hAnsi="Times New Roman" w:cs="Times New Roman"/>
          <w:i/>
          <w:sz w:val="20"/>
          <w:szCs w:val="20"/>
          <w:shd w:val="clear" w:color="auto" w:fill="FFFFFF"/>
        </w:rPr>
        <w:t>auriculata</w:t>
      </w:r>
      <w:proofErr w:type="spellEnd"/>
      <w:r w:rsidRPr="00751ADA">
        <w:rPr>
          <w:rFonts w:ascii="Times New Roman" w:hAnsi="Times New Roman" w:cs="Times New Roman"/>
          <w:i/>
          <w:sz w:val="20"/>
          <w:szCs w:val="20"/>
          <w:shd w:val="clear" w:color="auto" w:fill="FFFFFF"/>
        </w:rPr>
        <w:t xml:space="preserve">, </w:t>
      </w:r>
      <w:r w:rsidRPr="00751ADA">
        <w:rPr>
          <w:rFonts w:ascii="Times New Roman" w:hAnsi="Times New Roman" w:cs="Times New Roman"/>
          <w:sz w:val="20"/>
          <w:szCs w:val="20"/>
          <w:shd w:val="clear" w:color="auto" w:fill="FFFFFF"/>
        </w:rPr>
        <w:t>CSTR/UFCG, Patos-PB, 2015.</w:t>
      </w:r>
    </w:p>
    <w:p w:rsidR="00B85FED" w:rsidRDefault="00B85FED" w:rsidP="00B85FED">
      <w:pPr>
        <w:jc w:val="center"/>
        <w:rPr>
          <w:rFonts w:ascii="Times New Roman" w:hAnsi="Times New Roman" w:cs="Times New Roman"/>
        </w:rPr>
      </w:pPr>
    </w:p>
    <w:p w:rsidR="00B85FED" w:rsidRPr="002B5C3E" w:rsidRDefault="00B85FED" w:rsidP="00B85FED">
      <w:pPr>
        <w:spacing w:after="0" w:line="240" w:lineRule="auto"/>
        <w:ind w:firstLine="567"/>
        <w:jc w:val="both"/>
        <w:rPr>
          <w:rFonts w:ascii="Times New Roman" w:eastAsia="MinionPro-Regular" w:hAnsi="Times New Roman" w:cs="Times New Roman"/>
          <w:szCs w:val="20"/>
        </w:rPr>
      </w:pPr>
      <w:r w:rsidRPr="002B5C3E">
        <w:rPr>
          <w:rFonts w:ascii="Times New Roman" w:hAnsi="Times New Roman" w:cs="Times New Roman"/>
          <w:szCs w:val="20"/>
        </w:rPr>
        <w:lastRenderedPageBreak/>
        <w:t xml:space="preserve">Resultados similares aos relatados no presente estudo foram obtidos por </w:t>
      </w:r>
      <w:r w:rsidRPr="002B5C3E">
        <w:rPr>
          <w:rFonts w:ascii="Times New Roman" w:eastAsia="MinionPro-Regular" w:hAnsi="Times New Roman" w:cs="Times New Roman"/>
          <w:szCs w:val="20"/>
        </w:rPr>
        <w:t xml:space="preserve">Nogueira et, al. (2012), em sementes de </w:t>
      </w:r>
      <w:proofErr w:type="spellStart"/>
      <w:r w:rsidRPr="002B5C3E">
        <w:rPr>
          <w:rFonts w:ascii="Times New Roman" w:hAnsi="Times New Roman" w:cs="Times New Roman"/>
          <w:i/>
          <w:szCs w:val="20"/>
          <w:shd w:val="clear" w:color="auto" w:fill="FFFFFF"/>
        </w:rPr>
        <w:t>Luetzelburgia</w:t>
      </w:r>
      <w:proofErr w:type="spellEnd"/>
      <w:r w:rsidRPr="002B5C3E">
        <w:rPr>
          <w:rFonts w:ascii="Times New Roman" w:hAnsi="Times New Roman" w:cs="Times New Roman"/>
          <w:i/>
          <w:szCs w:val="20"/>
          <w:shd w:val="clear" w:color="auto" w:fill="FFFFFF"/>
        </w:rPr>
        <w:t xml:space="preserve"> </w:t>
      </w:r>
      <w:proofErr w:type="spellStart"/>
      <w:r w:rsidRPr="002B5C3E">
        <w:rPr>
          <w:rFonts w:ascii="Times New Roman" w:hAnsi="Times New Roman" w:cs="Times New Roman"/>
          <w:i/>
          <w:szCs w:val="20"/>
          <w:shd w:val="clear" w:color="auto" w:fill="FFFFFF"/>
        </w:rPr>
        <w:t>auriculata</w:t>
      </w:r>
      <w:proofErr w:type="spellEnd"/>
      <w:r w:rsidRPr="002B5C3E">
        <w:rPr>
          <w:rFonts w:ascii="Times New Roman" w:hAnsi="Times New Roman" w:cs="Times New Roman"/>
          <w:i/>
          <w:szCs w:val="20"/>
          <w:shd w:val="clear" w:color="auto" w:fill="FFFFFF"/>
        </w:rPr>
        <w:t xml:space="preserve">. </w:t>
      </w:r>
      <w:r w:rsidRPr="002B5C3E">
        <w:rPr>
          <w:rFonts w:ascii="Times New Roman" w:hAnsi="Times New Roman" w:cs="Times New Roman"/>
          <w:szCs w:val="20"/>
          <w:shd w:val="clear" w:color="auto" w:fill="FFFFFF"/>
        </w:rPr>
        <w:t xml:space="preserve">Estes autores observaram que o peso das sementes vário de </w:t>
      </w:r>
      <w:r w:rsidRPr="002B5C3E">
        <w:rPr>
          <w:rFonts w:ascii="Times New Roman" w:eastAsia="MinionPro-Regular" w:hAnsi="Times New Roman" w:cs="Times New Roman"/>
          <w:szCs w:val="20"/>
        </w:rPr>
        <w:t>0,23 g a 0,68 g, com</w:t>
      </w:r>
      <w:r w:rsidRPr="002B5C3E">
        <w:rPr>
          <w:rFonts w:ascii="Times New Roman" w:hAnsi="Times New Roman" w:cs="Times New Roman"/>
          <w:szCs w:val="20"/>
          <w:shd w:val="clear" w:color="auto" w:fill="FFFFFF"/>
        </w:rPr>
        <w:t xml:space="preserve"> peso de 1.000 sementes registrando </w:t>
      </w:r>
      <w:r w:rsidRPr="002B5C3E">
        <w:rPr>
          <w:rFonts w:ascii="Times New Roman" w:eastAsia="MinionPro-Regular" w:hAnsi="Times New Roman" w:cs="Times New Roman"/>
          <w:szCs w:val="20"/>
        </w:rPr>
        <w:t xml:space="preserve">480,68 g, levando a inferir que em quilograma pode conter 2.080 sementes. </w:t>
      </w:r>
      <w:r w:rsidRPr="002B5C3E">
        <w:rPr>
          <w:rFonts w:ascii="Times New Roman" w:hAnsi="Times New Roman" w:cs="Times New Roman"/>
          <w:szCs w:val="20"/>
        </w:rPr>
        <w:t xml:space="preserve">Uma vez que as sementes mais pesadas </w:t>
      </w:r>
      <w:proofErr w:type="gramStart"/>
      <w:r w:rsidRPr="002B5C3E">
        <w:rPr>
          <w:rFonts w:ascii="Times New Roman" w:hAnsi="Times New Roman" w:cs="Times New Roman"/>
          <w:szCs w:val="20"/>
        </w:rPr>
        <w:t>mantêm-se</w:t>
      </w:r>
      <w:proofErr w:type="gramEnd"/>
      <w:r w:rsidRPr="002B5C3E">
        <w:rPr>
          <w:rFonts w:ascii="Times New Roman" w:hAnsi="Times New Roman" w:cs="Times New Roman"/>
          <w:szCs w:val="20"/>
        </w:rPr>
        <w:t xml:space="preserve"> mais bem nutridas durante seu desenvolvimento, sendo mais vigorosas em função de embriões bem formados e com maiores quantidades de reservas (CARVALHO; NAKAGAWA, 2012).</w:t>
      </w:r>
    </w:p>
    <w:p w:rsidR="00B85FED" w:rsidRPr="002B5C3E" w:rsidRDefault="00B85FED" w:rsidP="00B85FED">
      <w:pPr>
        <w:autoSpaceDE w:val="0"/>
        <w:autoSpaceDN w:val="0"/>
        <w:adjustRightInd w:val="0"/>
        <w:spacing w:after="0" w:line="240" w:lineRule="auto"/>
        <w:ind w:firstLine="567"/>
        <w:jc w:val="both"/>
        <w:rPr>
          <w:rFonts w:ascii="Times New Roman" w:hAnsi="Times New Roman" w:cs="Times New Roman"/>
          <w:szCs w:val="20"/>
        </w:rPr>
      </w:pPr>
      <w:r w:rsidRPr="002B5C3E">
        <w:rPr>
          <w:rFonts w:ascii="Times New Roman" w:hAnsi="Times New Roman" w:cs="Times New Roman"/>
          <w:szCs w:val="20"/>
        </w:rPr>
        <w:t>Os dados obtidos sugerem que as características biométricas são mantidas entre populações de diferentes procedências.</w:t>
      </w:r>
    </w:p>
    <w:p w:rsidR="00B85FED" w:rsidRDefault="00B85FED" w:rsidP="00B85FED">
      <w:pPr>
        <w:autoSpaceDE w:val="0"/>
        <w:autoSpaceDN w:val="0"/>
        <w:adjustRightInd w:val="0"/>
        <w:spacing w:after="0" w:line="240" w:lineRule="auto"/>
        <w:ind w:firstLine="567"/>
        <w:jc w:val="both"/>
        <w:rPr>
          <w:rFonts w:ascii="Times New Roman" w:hAnsi="Times New Roman" w:cs="Times New Roman"/>
          <w:sz w:val="20"/>
          <w:szCs w:val="20"/>
        </w:rPr>
      </w:pPr>
    </w:p>
    <w:p w:rsidR="00B85FED" w:rsidRPr="00FF1D1C" w:rsidRDefault="00B85FED" w:rsidP="00B85FED">
      <w:pPr>
        <w:spacing w:after="0" w:line="240" w:lineRule="auto"/>
        <w:jc w:val="both"/>
        <w:rPr>
          <w:rFonts w:ascii="Times New Roman" w:hAnsi="Times New Roman" w:cs="Times New Roman"/>
          <w:b/>
          <w:sz w:val="20"/>
          <w:szCs w:val="20"/>
        </w:rPr>
      </w:pPr>
      <w:r w:rsidRPr="00FF1D1C">
        <w:rPr>
          <w:rFonts w:ascii="Times New Roman" w:hAnsi="Times New Roman" w:cs="Times New Roman"/>
          <w:b/>
          <w:sz w:val="20"/>
          <w:szCs w:val="20"/>
        </w:rPr>
        <w:t>CONCLUSÕES</w:t>
      </w:r>
    </w:p>
    <w:p w:rsidR="00B85FED" w:rsidRPr="00FF1D1C" w:rsidRDefault="00B85FED" w:rsidP="00B85FED">
      <w:pPr>
        <w:spacing w:after="0" w:line="240" w:lineRule="auto"/>
        <w:jc w:val="both"/>
        <w:rPr>
          <w:rFonts w:ascii="Times New Roman" w:hAnsi="Times New Roman" w:cs="Times New Roman"/>
          <w:sz w:val="20"/>
          <w:szCs w:val="20"/>
        </w:rPr>
      </w:pPr>
    </w:p>
    <w:p w:rsidR="00B85FED" w:rsidRPr="002B5C3E" w:rsidRDefault="00B85FED" w:rsidP="00B85FED">
      <w:pPr>
        <w:pStyle w:val="SemEspaamento"/>
        <w:ind w:firstLine="708"/>
        <w:jc w:val="both"/>
        <w:rPr>
          <w:rFonts w:ascii="Times New Roman" w:hAnsi="Times New Roman" w:cs="Times New Roman"/>
          <w:szCs w:val="20"/>
        </w:rPr>
      </w:pPr>
      <w:r w:rsidRPr="002B5C3E">
        <w:rPr>
          <w:rFonts w:ascii="Times New Roman" w:hAnsi="Times New Roman" w:cs="Times New Roman"/>
          <w:szCs w:val="20"/>
          <w:shd w:val="clear" w:color="auto" w:fill="FFFFFF"/>
        </w:rPr>
        <w:t xml:space="preserve">As características biométricas de frutos e sementes </w:t>
      </w:r>
      <w:proofErr w:type="spellStart"/>
      <w:r w:rsidRPr="002B5C3E">
        <w:rPr>
          <w:rFonts w:ascii="Times New Roman" w:hAnsi="Times New Roman" w:cs="Times New Roman"/>
          <w:i/>
          <w:szCs w:val="20"/>
          <w:shd w:val="clear" w:color="auto" w:fill="FFFFFF"/>
        </w:rPr>
        <w:t>Luetzelburgia</w:t>
      </w:r>
      <w:proofErr w:type="spellEnd"/>
      <w:r w:rsidRPr="002B5C3E">
        <w:rPr>
          <w:rFonts w:ascii="Times New Roman" w:hAnsi="Times New Roman" w:cs="Times New Roman"/>
          <w:i/>
          <w:szCs w:val="20"/>
          <w:shd w:val="clear" w:color="auto" w:fill="FFFFFF"/>
        </w:rPr>
        <w:t xml:space="preserve"> </w:t>
      </w:r>
      <w:proofErr w:type="spellStart"/>
      <w:r w:rsidRPr="002B5C3E">
        <w:rPr>
          <w:rFonts w:ascii="Times New Roman" w:hAnsi="Times New Roman" w:cs="Times New Roman"/>
          <w:i/>
          <w:szCs w:val="20"/>
          <w:shd w:val="clear" w:color="auto" w:fill="FFFFFF"/>
        </w:rPr>
        <w:t>auriculata</w:t>
      </w:r>
      <w:proofErr w:type="spellEnd"/>
      <w:r w:rsidRPr="002B5C3E">
        <w:rPr>
          <w:rFonts w:ascii="Times New Roman" w:hAnsi="Times New Roman" w:cs="Times New Roman"/>
          <w:szCs w:val="20"/>
          <w:shd w:val="clear" w:color="auto" w:fill="FFFFFF"/>
        </w:rPr>
        <w:t xml:space="preserve"> apresentam variabilidade.</w:t>
      </w:r>
    </w:p>
    <w:p w:rsidR="00B85FED" w:rsidRPr="002B5C3E" w:rsidRDefault="00B85FED" w:rsidP="00B85FED">
      <w:pPr>
        <w:spacing w:after="0" w:line="240" w:lineRule="auto"/>
        <w:ind w:firstLine="708"/>
        <w:jc w:val="both"/>
        <w:rPr>
          <w:rFonts w:ascii="Times New Roman" w:hAnsi="Times New Roman" w:cs="Times New Roman"/>
          <w:i/>
          <w:szCs w:val="20"/>
          <w:shd w:val="clear" w:color="auto" w:fill="FFFFFF"/>
        </w:rPr>
      </w:pPr>
      <w:r w:rsidRPr="002B5C3E">
        <w:rPr>
          <w:rFonts w:ascii="Times New Roman" w:hAnsi="Times New Roman" w:cs="Times New Roman"/>
          <w:szCs w:val="20"/>
        </w:rPr>
        <w:t xml:space="preserve">As características biométricas podem ser parâmetros de seleção de frutos e sementes visando à obtenção de espécimes geneticamente superiores de </w:t>
      </w:r>
      <w:proofErr w:type="spellStart"/>
      <w:r w:rsidRPr="002B5C3E">
        <w:rPr>
          <w:rFonts w:ascii="Times New Roman" w:hAnsi="Times New Roman" w:cs="Times New Roman"/>
          <w:i/>
          <w:szCs w:val="20"/>
          <w:shd w:val="clear" w:color="auto" w:fill="FFFFFF"/>
        </w:rPr>
        <w:t>Luetzelburgia</w:t>
      </w:r>
      <w:proofErr w:type="spellEnd"/>
      <w:r w:rsidRPr="002B5C3E">
        <w:rPr>
          <w:rFonts w:ascii="Times New Roman" w:hAnsi="Times New Roman" w:cs="Times New Roman"/>
          <w:i/>
          <w:szCs w:val="20"/>
          <w:shd w:val="clear" w:color="auto" w:fill="FFFFFF"/>
        </w:rPr>
        <w:t xml:space="preserve"> </w:t>
      </w:r>
      <w:proofErr w:type="spellStart"/>
      <w:r w:rsidRPr="002B5C3E">
        <w:rPr>
          <w:rFonts w:ascii="Times New Roman" w:hAnsi="Times New Roman" w:cs="Times New Roman"/>
          <w:i/>
          <w:szCs w:val="20"/>
          <w:shd w:val="clear" w:color="auto" w:fill="FFFFFF"/>
        </w:rPr>
        <w:t>auriculata</w:t>
      </w:r>
      <w:proofErr w:type="spellEnd"/>
      <w:r w:rsidRPr="002B5C3E">
        <w:rPr>
          <w:rFonts w:ascii="Times New Roman" w:hAnsi="Times New Roman" w:cs="Times New Roman"/>
          <w:i/>
          <w:szCs w:val="20"/>
          <w:shd w:val="clear" w:color="auto" w:fill="FFFFFF"/>
        </w:rPr>
        <w:t>.</w:t>
      </w:r>
      <w:r w:rsidR="00191AC2" w:rsidRPr="002B5C3E">
        <w:rPr>
          <w:rFonts w:ascii="Times New Roman" w:hAnsi="Times New Roman" w:cs="Times New Roman"/>
          <w:i/>
          <w:szCs w:val="20"/>
          <w:shd w:val="clear" w:color="auto" w:fill="FFFFFF"/>
        </w:rPr>
        <w:t xml:space="preserve"> </w:t>
      </w:r>
    </w:p>
    <w:p w:rsidR="00191AC2" w:rsidRPr="002B5C3E" w:rsidRDefault="00191AC2" w:rsidP="00B85FED">
      <w:pPr>
        <w:spacing w:after="0" w:line="240" w:lineRule="auto"/>
        <w:ind w:firstLine="708"/>
        <w:jc w:val="both"/>
        <w:rPr>
          <w:rFonts w:ascii="Times New Roman" w:hAnsi="Times New Roman" w:cs="Times New Roman"/>
          <w:szCs w:val="20"/>
        </w:rPr>
      </w:pPr>
    </w:p>
    <w:p w:rsidR="00B85FED" w:rsidRPr="002B5C3E" w:rsidRDefault="00B85FED" w:rsidP="00B85FED">
      <w:pPr>
        <w:autoSpaceDE w:val="0"/>
        <w:autoSpaceDN w:val="0"/>
        <w:adjustRightInd w:val="0"/>
        <w:spacing w:after="0" w:line="240" w:lineRule="auto"/>
        <w:ind w:firstLine="567"/>
        <w:jc w:val="both"/>
        <w:rPr>
          <w:rFonts w:ascii="Times New Roman" w:hAnsi="Times New Roman" w:cs="Times New Roman"/>
          <w:szCs w:val="20"/>
        </w:rPr>
      </w:pPr>
    </w:p>
    <w:p w:rsidR="00B85FED" w:rsidRPr="002B5C3E" w:rsidRDefault="00B85FED" w:rsidP="00B85FED">
      <w:pPr>
        <w:spacing w:after="0" w:line="240" w:lineRule="auto"/>
        <w:jc w:val="both"/>
        <w:rPr>
          <w:rFonts w:ascii="Times New Roman" w:hAnsi="Times New Roman" w:cs="Times New Roman"/>
          <w:b/>
          <w:szCs w:val="20"/>
        </w:rPr>
      </w:pPr>
      <w:r w:rsidRPr="002B5C3E">
        <w:rPr>
          <w:rFonts w:ascii="Times New Roman" w:hAnsi="Times New Roman" w:cs="Times New Roman"/>
          <w:b/>
          <w:szCs w:val="20"/>
        </w:rPr>
        <w:t>REFERÊNCIASBIBLIOGRÁFICAS</w:t>
      </w:r>
    </w:p>
    <w:p w:rsidR="00B85FED" w:rsidRPr="002B5C3E" w:rsidRDefault="00B85FED" w:rsidP="00B85FED">
      <w:pPr>
        <w:pStyle w:val="NormalWeb"/>
        <w:jc w:val="both"/>
        <w:rPr>
          <w:sz w:val="22"/>
          <w:szCs w:val="20"/>
        </w:rPr>
      </w:pPr>
      <w:r w:rsidRPr="002B5C3E">
        <w:rPr>
          <w:sz w:val="22"/>
          <w:szCs w:val="20"/>
        </w:rPr>
        <w:t xml:space="preserve"> ALVES, E. U.; BRUNO, R. L. A.; OLIVEIRA, A. P.; ALVES, A. U.; PAULA, R.C. Influência do tamanho e da procedência de sementes de </w:t>
      </w:r>
      <w:r w:rsidRPr="002B5C3E">
        <w:rPr>
          <w:i/>
          <w:sz w:val="22"/>
          <w:szCs w:val="20"/>
        </w:rPr>
        <w:t xml:space="preserve">Mimosa </w:t>
      </w:r>
      <w:proofErr w:type="spellStart"/>
      <w:r w:rsidRPr="002B5C3E">
        <w:rPr>
          <w:i/>
          <w:sz w:val="22"/>
          <w:szCs w:val="20"/>
        </w:rPr>
        <w:t>caesalpiniifolia</w:t>
      </w:r>
      <w:r w:rsidRPr="002B5C3E">
        <w:rPr>
          <w:sz w:val="22"/>
          <w:szCs w:val="20"/>
        </w:rPr>
        <w:t>Benth</w:t>
      </w:r>
      <w:proofErr w:type="spellEnd"/>
      <w:r w:rsidRPr="002B5C3E">
        <w:rPr>
          <w:sz w:val="22"/>
          <w:szCs w:val="20"/>
        </w:rPr>
        <w:t xml:space="preserve">. </w:t>
      </w:r>
      <w:proofErr w:type="gramStart"/>
      <w:r w:rsidRPr="002B5C3E">
        <w:rPr>
          <w:sz w:val="22"/>
          <w:szCs w:val="20"/>
        </w:rPr>
        <w:t>sobre</w:t>
      </w:r>
      <w:proofErr w:type="gramEnd"/>
      <w:r w:rsidRPr="002B5C3E">
        <w:rPr>
          <w:sz w:val="22"/>
          <w:szCs w:val="20"/>
        </w:rPr>
        <w:t xml:space="preserve"> a germinação e vigor. </w:t>
      </w:r>
      <w:r w:rsidRPr="002B5C3E">
        <w:rPr>
          <w:b/>
          <w:sz w:val="22"/>
          <w:szCs w:val="20"/>
        </w:rPr>
        <w:t>Revista Árvore</w:t>
      </w:r>
      <w:r w:rsidRPr="002B5C3E">
        <w:rPr>
          <w:sz w:val="22"/>
          <w:szCs w:val="20"/>
        </w:rPr>
        <w:t>, Viçosa, v.29, n.6, p.877-885, 2005.</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AMORIM, I.L.; DAVIDE, A.C.; FERREIRA, R.A.; CHAVES, M.M.F. Morfologia de frutos, sementes, plântulas e mudas de </w:t>
      </w:r>
      <w:r w:rsidRPr="002B5C3E">
        <w:rPr>
          <w:rFonts w:ascii="Times New Roman" w:hAnsi="Times New Roman" w:cs="Times New Roman"/>
          <w:i/>
          <w:szCs w:val="20"/>
        </w:rPr>
        <w:t xml:space="preserve">Senna </w:t>
      </w:r>
      <w:proofErr w:type="spellStart"/>
      <w:r w:rsidRPr="002B5C3E">
        <w:rPr>
          <w:rFonts w:ascii="Times New Roman" w:hAnsi="Times New Roman" w:cs="Times New Roman"/>
          <w:i/>
          <w:szCs w:val="20"/>
        </w:rPr>
        <w:t>multijuga</w:t>
      </w:r>
      <w:r w:rsidRPr="002B5C3E">
        <w:rPr>
          <w:rFonts w:ascii="Times New Roman" w:hAnsi="Times New Roman" w:cs="Times New Roman"/>
          <w:szCs w:val="20"/>
        </w:rPr>
        <w:t>var.lindleyana</w:t>
      </w:r>
      <w:proofErr w:type="spellEnd"/>
      <w:r w:rsidRPr="002B5C3E">
        <w:rPr>
          <w:rFonts w:ascii="Times New Roman" w:hAnsi="Times New Roman" w:cs="Times New Roman"/>
          <w:szCs w:val="20"/>
        </w:rPr>
        <w:t xml:space="preserve"> (Gardner) H. S. Irwin &amp;</w:t>
      </w:r>
      <w:proofErr w:type="spellStart"/>
      <w:r w:rsidRPr="002B5C3E">
        <w:rPr>
          <w:rFonts w:ascii="Times New Roman" w:hAnsi="Times New Roman" w:cs="Times New Roman"/>
          <w:szCs w:val="20"/>
        </w:rPr>
        <w:t>Barneby</w:t>
      </w:r>
      <w:proofErr w:type="spellEnd"/>
      <w:r w:rsidRPr="002B5C3E">
        <w:rPr>
          <w:rFonts w:ascii="Times New Roman" w:hAnsi="Times New Roman" w:cs="Times New Roman"/>
          <w:szCs w:val="20"/>
        </w:rPr>
        <w:t xml:space="preserve"> – </w:t>
      </w:r>
      <w:proofErr w:type="spellStart"/>
      <w:proofErr w:type="gramStart"/>
      <w:r w:rsidRPr="002B5C3E">
        <w:rPr>
          <w:rFonts w:ascii="Times New Roman" w:hAnsi="Times New Roman" w:cs="Times New Roman"/>
          <w:szCs w:val="20"/>
        </w:rPr>
        <w:t>Leguminosae</w:t>
      </w:r>
      <w:proofErr w:type="spellEnd"/>
      <w:r w:rsidR="00D46D5F" w:rsidRPr="002B5C3E">
        <w:rPr>
          <w:rFonts w:ascii="Times New Roman" w:hAnsi="Times New Roman" w:cs="Times New Roman"/>
          <w:szCs w:val="20"/>
        </w:rPr>
        <w:t xml:space="preserve">  </w:t>
      </w:r>
      <w:proofErr w:type="spellStart"/>
      <w:r w:rsidRPr="002B5C3E">
        <w:rPr>
          <w:rFonts w:ascii="Times New Roman" w:hAnsi="Times New Roman" w:cs="Times New Roman"/>
          <w:szCs w:val="20"/>
        </w:rPr>
        <w:t>Caesalpinioideae</w:t>
      </w:r>
      <w:proofErr w:type="spellEnd"/>
      <w:proofErr w:type="gramEnd"/>
      <w:r w:rsidRPr="002B5C3E">
        <w:rPr>
          <w:rFonts w:ascii="Times New Roman" w:hAnsi="Times New Roman" w:cs="Times New Roman"/>
          <w:szCs w:val="20"/>
        </w:rPr>
        <w:t xml:space="preserve">. </w:t>
      </w:r>
      <w:r w:rsidRPr="002B5C3E">
        <w:rPr>
          <w:rFonts w:ascii="Times New Roman" w:hAnsi="Times New Roman" w:cs="Times New Roman"/>
          <w:b/>
          <w:szCs w:val="20"/>
        </w:rPr>
        <w:t>Revista Brasileira de Botânica</w:t>
      </w:r>
      <w:r w:rsidRPr="002B5C3E">
        <w:rPr>
          <w:rFonts w:ascii="Times New Roman" w:hAnsi="Times New Roman" w:cs="Times New Roman"/>
          <w:szCs w:val="20"/>
        </w:rPr>
        <w:t xml:space="preserve">, São Paulo, v.31, n.3, p.507-516, 2008.  </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ARAÚJO, P. C.; ARAUJO NETO, A. C.; SANTOS, S. R. N.; MEDEIROS, J. G. F.; LEITE, R. P.; ALVES, E. U.; BRUNO, R. L. A.; OLIVEIRA, J. J. F. Biometria de frutos e sementes de </w:t>
      </w:r>
      <w:proofErr w:type="spellStart"/>
      <w:r w:rsidRPr="002B5C3E">
        <w:rPr>
          <w:rFonts w:ascii="Times New Roman" w:hAnsi="Times New Roman" w:cs="Times New Roman"/>
          <w:i/>
          <w:szCs w:val="20"/>
        </w:rPr>
        <w:t>Operculinamacrocarpa</w:t>
      </w:r>
      <w:proofErr w:type="spellEnd"/>
      <w:r w:rsidRPr="002B5C3E">
        <w:rPr>
          <w:rFonts w:ascii="Times New Roman" w:hAnsi="Times New Roman" w:cs="Times New Roman"/>
          <w:szCs w:val="20"/>
        </w:rPr>
        <w:t xml:space="preserve"> (L.) </w:t>
      </w:r>
      <w:proofErr w:type="spellStart"/>
      <w:r w:rsidRPr="002B5C3E">
        <w:rPr>
          <w:rFonts w:ascii="Times New Roman" w:hAnsi="Times New Roman" w:cs="Times New Roman"/>
          <w:szCs w:val="20"/>
        </w:rPr>
        <w:t>Urban</w:t>
      </w:r>
      <w:proofErr w:type="spellEnd"/>
      <w:r w:rsidRPr="002B5C3E">
        <w:rPr>
          <w:rFonts w:ascii="Times New Roman" w:hAnsi="Times New Roman" w:cs="Times New Roman"/>
          <w:szCs w:val="20"/>
        </w:rPr>
        <w:t xml:space="preserve"> ocorrente no semiárido norte-rio-grandense. </w:t>
      </w:r>
      <w:proofErr w:type="spellStart"/>
      <w:r w:rsidRPr="002B5C3E">
        <w:rPr>
          <w:rFonts w:ascii="Times New Roman" w:hAnsi="Times New Roman" w:cs="Times New Roman"/>
          <w:b/>
          <w:szCs w:val="20"/>
        </w:rPr>
        <w:t>Scientia</w:t>
      </w:r>
      <w:proofErr w:type="spellEnd"/>
      <w:r w:rsidRPr="002B5C3E">
        <w:rPr>
          <w:rFonts w:ascii="Times New Roman" w:hAnsi="Times New Roman" w:cs="Times New Roman"/>
          <w:b/>
          <w:szCs w:val="20"/>
        </w:rPr>
        <w:t xml:space="preserve"> Plena</w:t>
      </w:r>
      <w:r w:rsidRPr="002B5C3E">
        <w:rPr>
          <w:rFonts w:ascii="Times New Roman" w:hAnsi="Times New Roman" w:cs="Times New Roman"/>
          <w:szCs w:val="20"/>
        </w:rPr>
        <w:t>, Aracaju, v. 8, n. 4, p. 1-5, 2012</w:t>
      </w:r>
    </w:p>
    <w:p w:rsidR="00B85FED" w:rsidRPr="002B5C3E" w:rsidRDefault="00B85FED" w:rsidP="00B85FED">
      <w:pPr>
        <w:spacing w:line="240" w:lineRule="auto"/>
        <w:jc w:val="both"/>
        <w:rPr>
          <w:rFonts w:ascii="Times New Roman" w:hAnsi="Times New Roman" w:cs="Times New Roman"/>
          <w:bCs/>
          <w:szCs w:val="20"/>
        </w:rPr>
      </w:pPr>
      <w:r w:rsidRPr="002B5C3E">
        <w:rPr>
          <w:rFonts w:ascii="Times New Roman" w:hAnsi="Times New Roman" w:cs="Times New Roman"/>
          <w:szCs w:val="20"/>
        </w:rPr>
        <w:t xml:space="preserve">BATTILANI, J. L.; SANTIAGO, E. F.; DIAS, E. S. Morfologia de frutos, sementes, plântulas e plantas jovens de </w:t>
      </w:r>
      <w:proofErr w:type="spellStart"/>
      <w:proofErr w:type="gramStart"/>
      <w:r w:rsidRPr="002B5C3E">
        <w:rPr>
          <w:rFonts w:ascii="Times New Roman" w:hAnsi="Times New Roman" w:cs="Times New Roman"/>
          <w:i/>
          <w:iCs/>
          <w:szCs w:val="20"/>
        </w:rPr>
        <w:t>Guibourtiahymenifolia</w:t>
      </w:r>
      <w:proofErr w:type="spellEnd"/>
      <w:r w:rsidRPr="002B5C3E">
        <w:rPr>
          <w:rFonts w:ascii="Times New Roman" w:hAnsi="Times New Roman" w:cs="Times New Roman"/>
          <w:szCs w:val="20"/>
        </w:rPr>
        <w:t>(</w:t>
      </w:r>
      <w:proofErr w:type="spellStart"/>
      <w:proofErr w:type="gramEnd"/>
      <w:r w:rsidRPr="002B5C3E">
        <w:rPr>
          <w:rFonts w:ascii="Times New Roman" w:hAnsi="Times New Roman" w:cs="Times New Roman"/>
          <w:szCs w:val="20"/>
        </w:rPr>
        <w:t>Moric</w:t>
      </w:r>
      <w:proofErr w:type="spellEnd"/>
      <w:r w:rsidRPr="002B5C3E">
        <w:rPr>
          <w:rFonts w:ascii="Times New Roman" w:hAnsi="Times New Roman" w:cs="Times New Roman"/>
          <w:szCs w:val="20"/>
        </w:rPr>
        <w:t>.) J. Leonard (</w:t>
      </w:r>
      <w:proofErr w:type="spellStart"/>
      <w:r w:rsidRPr="002B5C3E">
        <w:rPr>
          <w:rFonts w:ascii="Times New Roman" w:hAnsi="Times New Roman" w:cs="Times New Roman"/>
          <w:szCs w:val="20"/>
        </w:rPr>
        <w:t>Fabaceae</w:t>
      </w:r>
      <w:proofErr w:type="spellEnd"/>
      <w:r w:rsidRPr="002B5C3E">
        <w:rPr>
          <w:rFonts w:ascii="Times New Roman" w:hAnsi="Times New Roman" w:cs="Times New Roman"/>
          <w:szCs w:val="20"/>
        </w:rPr>
        <w:t xml:space="preserve">). </w:t>
      </w:r>
      <w:r w:rsidRPr="002B5C3E">
        <w:rPr>
          <w:rFonts w:ascii="Times New Roman" w:hAnsi="Times New Roman" w:cs="Times New Roman"/>
          <w:b/>
          <w:szCs w:val="20"/>
        </w:rPr>
        <w:t>Revista Árvore</w:t>
      </w:r>
      <w:r w:rsidRPr="002B5C3E">
        <w:rPr>
          <w:rFonts w:ascii="Times New Roman" w:hAnsi="Times New Roman" w:cs="Times New Roman"/>
          <w:szCs w:val="20"/>
        </w:rPr>
        <w:t>, Viçosa-MG, v.35, n.5, p.1089-1098, 2011.</w:t>
      </w:r>
    </w:p>
    <w:p w:rsidR="00B85FED" w:rsidRPr="002B5C3E" w:rsidRDefault="00B85FED" w:rsidP="00B85FED">
      <w:pPr>
        <w:autoSpaceDE w:val="0"/>
        <w:autoSpaceDN w:val="0"/>
        <w:adjustRightInd w:val="0"/>
        <w:spacing w:line="240" w:lineRule="auto"/>
        <w:jc w:val="both"/>
        <w:rPr>
          <w:rFonts w:ascii="Times New Roman" w:hAnsi="Times New Roman" w:cs="Times New Roman"/>
          <w:szCs w:val="20"/>
        </w:rPr>
      </w:pPr>
      <w:r w:rsidRPr="002B5C3E">
        <w:rPr>
          <w:rFonts w:ascii="Times New Roman" w:hAnsi="Times New Roman" w:cs="Times New Roman"/>
          <w:szCs w:val="20"/>
        </w:rPr>
        <w:t xml:space="preserve">BIRUEL, P. R.; PAULA, R. C.; AGUIAR, I. B. Germinação de sementes de </w:t>
      </w:r>
      <w:proofErr w:type="spellStart"/>
      <w:proofErr w:type="gramStart"/>
      <w:r w:rsidRPr="002B5C3E">
        <w:rPr>
          <w:rFonts w:ascii="Times New Roman" w:hAnsi="Times New Roman" w:cs="Times New Roman"/>
          <w:i/>
          <w:iCs/>
          <w:szCs w:val="20"/>
        </w:rPr>
        <w:t>Caesalpinialeiostachya</w:t>
      </w:r>
      <w:proofErr w:type="spellEnd"/>
      <w:r w:rsidRPr="002B5C3E">
        <w:rPr>
          <w:rFonts w:ascii="Times New Roman" w:hAnsi="Times New Roman" w:cs="Times New Roman"/>
          <w:szCs w:val="20"/>
        </w:rPr>
        <w:t>(</w:t>
      </w:r>
      <w:proofErr w:type="spellStart"/>
      <w:proofErr w:type="gramEnd"/>
      <w:r w:rsidRPr="002B5C3E">
        <w:rPr>
          <w:rFonts w:ascii="Times New Roman" w:hAnsi="Times New Roman" w:cs="Times New Roman"/>
          <w:szCs w:val="20"/>
        </w:rPr>
        <w:t>benth</w:t>
      </w:r>
      <w:proofErr w:type="spellEnd"/>
      <w:r w:rsidRPr="002B5C3E">
        <w:rPr>
          <w:rFonts w:ascii="Times New Roman" w:hAnsi="Times New Roman" w:cs="Times New Roman"/>
          <w:szCs w:val="20"/>
        </w:rPr>
        <w:t xml:space="preserve">.) </w:t>
      </w:r>
      <w:proofErr w:type="spellStart"/>
      <w:r w:rsidRPr="002B5C3E">
        <w:rPr>
          <w:rFonts w:ascii="Times New Roman" w:hAnsi="Times New Roman" w:cs="Times New Roman"/>
          <w:szCs w:val="20"/>
        </w:rPr>
        <w:t>Ducke</w:t>
      </w:r>
      <w:proofErr w:type="spellEnd"/>
      <w:r w:rsidRPr="002B5C3E">
        <w:rPr>
          <w:rFonts w:ascii="Times New Roman" w:hAnsi="Times New Roman" w:cs="Times New Roman"/>
          <w:szCs w:val="20"/>
        </w:rPr>
        <w:t xml:space="preserve"> (pau-ferro) classificadas pelo tamanho e pela forma. </w:t>
      </w:r>
      <w:proofErr w:type="spellStart"/>
      <w:r w:rsidRPr="002B5C3E">
        <w:rPr>
          <w:rFonts w:ascii="Times New Roman" w:hAnsi="Times New Roman" w:cs="Times New Roman"/>
          <w:b/>
          <w:bCs/>
          <w:szCs w:val="20"/>
        </w:rPr>
        <w:t>RevistaÁrvore</w:t>
      </w:r>
      <w:proofErr w:type="spellEnd"/>
      <w:r w:rsidRPr="002B5C3E">
        <w:rPr>
          <w:rFonts w:ascii="Times New Roman" w:hAnsi="Times New Roman" w:cs="Times New Roman"/>
          <w:szCs w:val="20"/>
        </w:rPr>
        <w:t>, v.34, n.2, p.197-204, 2010.</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bCs/>
          <w:szCs w:val="20"/>
        </w:rPr>
        <w:t xml:space="preserve">BRAGA, L.F.; OLIVEIRA, A.C.C.; SOUSA, </w:t>
      </w:r>
      <w:proofErr w:type="spellStart"/>
      <w:r w:rsidRPr="002B5C3E">
        <w:rPr>
          <w:rFonts w:ascii="Times New Roman" w:hAnsi="Times New Roman" w:cs="Times New Roman"/>
          <w:bCs/>
          <w:szCs w:val="20"/>
        </w:rPr>
        <w:t>M.P.Morfometria</w:t>
      </w:r>
      <w:proofErr w:type="spellEnd"/>
      <w:r w:rsidRPr="002B5C3E">
        <w:rPr>
          <w:rFonts w:ascii="Times New Roman" w:hAnsi="Times New Roman" w:cs="Times New Roman"/>
          <w:bCs/>
          <w:szCs w:val="20"/>
        </w:rPr>
        <w:t xml:space="preserve"> de sementes e desenvolvimento pós-seminal de </w:t>
      </w:r>
      <w:proofErr w:type="spellStart"/>
      <w:r w:rsidRPr="002B5C3E">
        <w:rPr>
          <w:rFonts w:ascii="Times New Roman" w:hAnsi="Times New Roman" w:cs="Times New Roman"/>
          <w:bCs/>
          <w:i/>
          <w:iCs/>
          <w:szCs w:val="20"/>
        </w:rPr>
        <w:t>Schizolobiumamazonicum</w:t>
      </w:r>
      <w:r w:rsidRPr="002B5C3E">
        <w:rPr>
          <w:rFonts w:ascii="Times New Roman" w:hAnsi="Times New Roman" w:cs="Times New Roman"/>
          <w:bCs/>
          <w:szCs w:val="20"/>
        </w:rPr>
        <w:t>Huber</w:t>
      </w:r>
      <w:proofErr w:type="spellEnd"/>
      <w:r w:rsidRPr="002B5C3E">
        <w:rPr>
          <w:rFonts w:ascii="Times New Roman" w:hAnsi="Times New Roman" w:cs="Times New Roman"/>
          <w:bCs/>
          <w:szCs w:val="20"/>
        </w:rPr>
        <w:t xml:space="preserve"> (</w:t>
      </w:r>
      <w:proofErr w:type="spellStart"/>
      <w:r w:rsidRPr="002B5C3E">
        <w:rPr>
          <w:rFonts w:ascii="Times New Roman" w:hAnsi="Times New Roman" w:cs="Times New Roman"/>
          <w:bCs/>
          <w:szCs w:val="20"/>
        </w:rPr>
        <w:t>Ducke</w:t>
      </w:r>
      <w:proofErr w:type="spellEnd"/>
      <w:r w:rsidRPr="002B5C3E">
        <w:rPr>
          <w:rFonts w:ascii="Times New Roman" w:hAnsi="Times New Roman" w:cs="Times New Roman"/>
          <w:bCs/>
          <w:szCs w:val="20"/>
        </w:rPr>
        <w:t xml:space="preserve">) – </w:t>
      </w:r>
      <w:proofErr w:type="spellStart"/>
      <w:r w:rsidRPr="002B5C3E">
        <w:rPr>
          <w:rFonts w:ascii="Times New Roman" w:hAnsi="Times New Roman" w:cs="Times New Roman"/>
          <w:bCs/>
          <w:szCs w:val="20"/>
        </w:rPr>
        <w:t>Fabaceae</w:t>
      </w:r>
      <w:proofErr w:type="spellEnd"/>
      <w:r w:rsidRPr="002B5C3E">
        <w:rPr>
          <w:rFonts w:ascii="Times New Roman" w:hAnsi="Times New Roman" w:cs="Times New Roman"/>
          <w:bCs/>
          <w:szCs w:val="20"/>
        </w:rPr>
        <w:t xml:space="preserve">. </w:t>
      </w:r>
      <w:r w:rsidRPr="002B5C3E">
        <w:rPr>
          <w:rFonts w:ascii="Times New Roman" w:hAnsi="Times New Roman" w:cs="Times New Roman"/>
          <w:b/>
          <w:bCs/>
          <w:szCs w:val="20"/>
        </w:rPr>
        <w:t>Científica</w:t>
      </w:r>
      <w:r w:rsidRPr="002B5C3E">
        <w:rPr>
          <w:rFonts w:ascii="Times New Roman" w:hAnsi="Times New Roman" w:cs="Times New Roman"/>
          <w:szCs w:val="20"/>
        </w:rPr>
        <w:t>, Jaboticabal, v.41, n.1, p.01–10, 2013</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BARRETTO, S.S.B.; FERREIRA, R.A. Aspectos morfológicos de frutos, sementes, plântulas e mudas de </w:t>
      </w:r>
      <w:proofErr w:type="spellStart"/>
      <w:r w:rsidRPr="002B5C3E">
        <w:rPr>
          <w:rFonts w:ascii="Times New Roman" w:hAnsi="Times New Roman" w:cs="Times New Roman"/>
          <w:szCs w:val="20"/>
        </w:rPr>
        <w:t>LeguminosaeMimosoideae</w:t>
      </w:r>
      <w:proofErr w:type="spellEnd"/>
      <w:r w:rsidRPr="002B5C3E">
        <w:rPr>
          <w:rFonts w:ascii="Times New Roman" w:hAnsi="Times New Roman" w:cs="Times New Roman"/>
          <w:szCs w:val="20"/>
        </w:rPr>
        <w:t xml:space="preserve">: </w:t>
      </w:r>
      <w:proofErr w:type="spellStart"/>
      <w:r w:rsidRPr="002B5C3E">
        <w:rPr>
          <w:rFonts w:ascii="Times New Roman" w:hAnsi="Times New Roman" w:cs="Times New Roman"/>
          <w:i/>
          <w:szCs w:val="20"/>
        </w:rPr>
        <w:t>Anadenanthera</w:t>
      </w:r>
      <w:proofErr w:type="spellEnd"/>
      <w:r w:rsidRPr="002B5C3E">
        <w:rPr>
          <w:rFonts w:ascii="Times New Roman" w:hAnsi="Times New Roman" w:cs="Times New Roman"/>
          <w:i/>
          <w:szCs w:val="20"/>
        </w:rPr>
        <w:t xml:space="preserve"> colubrina</w:t>
      </w:r>
      <w:r w:rsidRPr="002B5C3E">
        <w:rPr>
          <w:rFonts w:ascii="Times New Roman" w:hAnsi="Times New Roman" w:cs="Times New Roman"/>
          <w:szCs w:val="20"/>
        </w:rPr>
        <w:t xml:space="preserve"> (Vellozo) </w:t>
      </w:r>
      <w:proofErr w:type="spellStart"/>
      <w:r w:rsidRPr="002B5C3E">
        <w:rPr>
          <w:rFonts w:ascii="Times New Roman" w:hAnsi="Times New Roman" w:cs="Times New Roman"/>
          <w:szCs w:val="20"/>
        </w:rPr>
        <w:t>Brenan</w:t>
      </w:r>
      <w:proofErr w:type="spellEnd"/>
      <w:r w:rsidRPr="002B5C3E">
        <w:rPr>
          <w:rFonts w:ascii="Times New Roman" w:hAnsi="Times New Roman" w:cs="Times New Roman"/>
          <w:szCs w:val="20"/>
        </w:rPr>
        <w:t xml:space="preserve"> e </w:t>
      </w:r>
      <w:proofErr w:type="spellStart"/>
      <w:r w:rsidRPr="002B5C3E">
        <w:rPr>
          <w:rFonts w:ascii="Times New Roman" w:hAnsi="Times New Roman" w:cs="Times New Roman"/>
          <w:i/>
          <w:szCs w:val="20"/>
        </w:rPr>
        <w:t>Enterolobiumcontortisiliquum</w:t>
      </w:r>
      <w:proofErr w:type="spellEnd"/>
      <w:r w:rsidRPr="002B5C3E">
        <w:rPr>
          <w:rFonts w:ascii="Times New Roman" w:hAnsi="Times New Roman" w:cs="Times New Roman"/>
          <w:szCs w:val="20"/>
        </w:rPr>
        <w:t xml:space="preserve"> (Vellozo) </w:t>
      </w:r>
      <w:proofErr w:type="spellStart"/>
      <w:r w:rsidRPr="002B5C3E">
        <w:rPr>
          <w:rFonts w:ascii="Times New Roman" w:hAnsi="Times New Roman" w:cs="Times New Roman"/>
          <w:szCs w:val="20"/>
        </w:rPr>
        <w:t>Morong</w:t>
      </w:r>
      <w:proofErr w:type="spellEnd"/>
      <w:r w:rsidRPr="002B5C3E">
        <w:rPr>
          <w:rFonts w:ascii="Times New Roman" w:hAnsi="Times New Roman" w:cs="Times New Roman"/>
          <w:szCs w:val="20"/>
        </w:rPr>
        <w:t xml:space="preserve">. </w:t>
      </w:r>
      <w:r w:rsidRPr="002B5C3E">
        <w:rPr>
          <w:rFonts w:ascii="Times New Roman" w:hAnsi="Times New Roman" w:cs="Times New Roman"/>
          <w:b/>
          <w:szCs w:val="20"/>
        </w:rPr>
        <w:t>Revista Brasileira de Sementes</w:t>
      </w:r>
      <w:r w:rsidRPr="002B5C3E">
        <w:rPr>
          <w:rFonts w:ascii="Times New Roman" w:hAnsi="Times New Roman" w:cs="Times New Roman"/>
          <w:szCs w:val="20"/>
        </w:rPr>
        <w:t>, Londrina, v.33, n.2, p.223-232, 2011.</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 BARROSO, G.M.; AMORIM, M.P.; PEIXOTO, A.L.; ICHASO, C.L.F. </w:t>
      </w:r>
      <w:r w:rsidRPr="002B5C3E">
        <w:rPr>
          <w:rFonts w:ascii="Times New Roman" w:hAnsi="Times New Roman" w:cs="Times New Roman"/>
          <w:b/>
          <w:szCs w:val="20"/>
        </w:rPr>
        <w:t>Frutos e sementes:</w:t>
      </w:r>
      <w:r w:rsidRPr="002B5C3E">
        <w:rPr>
          <w:rFonts w:ascii="Times New Roman" w:hAnsi="Times New Roman" w:cs="Times New Roman"/>
          <w:szCs w:val="20"/>
        </w:rPr>
        <w:t xml:space="preserve"> morfologia aplicada à sistemática de dicotiledôneas. Viçosa, MG: UFV, 2004. 444 p.</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 BOTEZELLI, L; DAVIDE, A. C.; MALAVASI, M. M. Características dos frutos e sementes de quatro procedências de </w:t>
      </w:r>
      <w:proofErr w:type="spellStart"/>
      <w:r w:rsidRPr="002B5C3E">
        <w:rPr>
          <w:rFonts w:ascii="Times New Roman" w:hAnsi="Times New Roman" w:cs="Times New Roman"/>
          <w:i/>
          <w:szCs w:val="20"/>
        </w:rPr>
        <w:t>Dipteryxalatavogel</w:t>
      </w:r>
      <w:proofErr w:type="spellEnd"/>
      <w:r w:rsidRPr="002B5C3E">
        <w:rPr>
          <w:rFonts w:ascii="Times New Roman" w:hAnsi="Times New Roman" w:cs="Times New Roman"/>
          <w:szCs w:val="20"/>
        </w:rPr>
        <w:t xml:space="preserve"> (baru). </w:t>
      </w:r>
      <w:r w:rsidRPr="002B5C3E">
        <w:rPr>
          <w:rFonts w:ascii="Times New Roman" w:hAnsi="Times New Roman" w:cs="Times New Roman"/>
          <w:b/>
          <w:szCs w:val="20"/>
        </w:rPr>
        <w:t>Cerne</w:t>
      </w:r>
      <w:r w:rsidRPr="002B5C3E">
        <w:rPr>
          <w:rFonts w:ascii="Times New Roman" w:hAnsi="Times New Roman" w:cs="Times New Roman"/>
          <w:szCs w:val="20"/>
        </w:rPr>
        <w:t>, Lavras, v.6, n.1, p. 918, 2000.</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lastRenderedPageBreak/>
        <w:t xml:space="preserve">CARVALHO, J. E. U.; NAZARÉ, R.F.R.; OLIVEIRA, W. M. Características físicas e </w:t>
      </w:r>
      <w:proofErr w:type="spellStart"/>
      <w:r w:rsidRPr="002B5C3E">
        <w:rPr>
          <w:rFonts w:ascii="Times New Roman" w:hAnsi="Times New Roman" w:cs="Times New Roman"/>
          <w:szCs w:val="20"/>
        </w:rPr>
        <w:t>físicoquímicas</w:t>
      </w:r>
      <w:proofErr w:type="spellEnd"/>
      <w:r w:rsidRPr="002B5C3E">
        <w:rPr>
          <w:rFonts w:ascii="Times New Roman" w:hAnsi="Times New Roman" w:cs="Times New Roman"/>
          <w:szCs w:val="20"/>
        </w:rPr>
        <w:t xml:space="preserve"> de um tipo de bacuri (</w:t>
      </w:r>
      <w:proofErr w:type="spellStart"/>
      <w:r w:rsidRPr="002B5C3E">
        <w:rPr>
          <w:rFonts w:ascii="Times New Roman" w:hAnsi="Times New Roman" w:cs="Times New Roman"/>
          <w:i/>
          <w:szCs w:val="20"/>
        </w:rPr>
        <w:t>Platoniainsignis</w:t>
      </w:r>
      <w:proofErr w:type="spellEnd"/>
      <w:r w:rsidRPr="002B5C3E">
        <w:rPr>
          <w:rFonts w:ascii="Times New Roman" w:hAnsi="Times New Roman" w:cs="Times New Roman"/>
          <w:szCs w:val="20"/>
        </w:rPr>
        <w:t xml:space="preserve"> Mart.) com rendimento industrial superior. </w:t>
      </w:r>
      <w:r w:rsidRPr="002B5C3E">
        <w:rPr>
          <w:rFonts w:ascii="Times New Roman" w:hAnsi="Times New Roman" w:cs="Times New Roman"/>
          <w:b/>
          <w:szCs w:val="20"/>
        </w:rPr>
        <w:t>Revista Brasileira de Fruticultura</w:t>
      </w:r>
      <w:r w:rsidRPr="002B5C3E">
        <w:rPr>
          <w:rFonts w:ascii="Times New Roman" w:hAnsi="Times New Roman" w:cs="Times New Roman"/>
          <w:szCs w:val="20"/>
        </w:rPr>
        <w:t>, Jaboticabal, v. 25, p. 326-328, 2003.</w:t>
      </w:r>
    </w:p>
    <w:p w:rsidR="00B85FED" w:rsidRPr="002B5C3E" w:rsidRDefault="00B85FED" w:rsidP="00B85FED">
      <w:pPr>
        <w:spacing w:line="240" w:lineRule="auto"/>
        <w:jc w:val="both"/>
        <w:rPr>
          <w:rFonts w:ascii="Times New Roman" w:hAnsi="Times New Roman" w:cs="Times New Roman"/>
          <w:szCs w:val="20"/>
          <w:lang w:val="en-US"/>
        </w:rPr>
      </w:pPr>
      <w:r w:rsidRPr="002B5C3E">
        <w:rPr>
          <w:rFonts w:ascii="Times New Roman" w:hAnsi="Times New Roman" w:cs="Times New Roman"/>
          <w:szCs w:val="20"/>
        </w:rPr>
        <w:t xml:space="preserve">CARVALHO, N. M.; NAKAGAWA, J. </w:t>
      </w:r>
      <w:r w:rsidRPr="002B5C3E">
        <w:rPr>
          <w:rFonts w:ascii="Times New Roman" w:hAnsi="Times New Roman" w:cs="Times New Roman"/>
          <w:b/>
          <w:szCs w:val="20"/>
        </w:rPr>
        <w:t>Sementes:</w:t>
      </w:r>
      <w:r w:rsidRPr="002B5C3E">
        <w:rPr>
          <w:rFonts w:ascii="Times New Roman" w:hAnsi="Times New Roman" w:cs="Times New Roman"/>
          <w:szCs w:val="20"/>
        </w:rPr>
        <w:t xml:space="preserve"> ciência tecnologia e produção. </w:t>
      </w:r>
      <w:proofErr w:type="gramStart"/>
      <w:r w:rsidRPr="002B5C3E">
        <w:rPr>
          <w:rFonts w:ascii="Times New Roman" w:hAnsi="Times New Roman" w:cs="Times New Roman"/>
          <w:szCs w:val="20"/>
          <w:lang w:val="en-US"/>
        </w:rPr>
        <w:t>5.ed</w:t>
      </w:r>
      <w:proofErr w:type="gramEnd"/>
      <w:r w:rsidRPr="002B5C3E">
        <w:rPr>
          <w:rFonts w:ascii="Times New Roman" w:hAnsi="Times New Roman" w:cs="Times New Roman"/>
          <w:szCs w:val="20"/>
          <w:lang w:val="en-US"/>
        </w:rPr>
        <w:t xml:space="preserve">. </w:t>
      </w:r>
      <w:proofErr w:type="spellStart"/>
      <w:r w:rsidRPr="002B5C3E">
        <w:rPr>
          <w:rFonts w:ascii="Times New Roman" w:hAnsi="Times New Roman" w:cs="Times New Roman"/>
          <w:szCs w:val="20"/>
          <w:lang w:val="en-US"/>
        </w:rPr>
        <w:t>Jaboticabal</w:t>
      </w:r>
      <w:proofErr w:type="spellEnd"/>
      <w:r w:rsidRPr="002B5C3E">
        <w:rPr>
          <w:rFonts w:ascii="Times New Roman" w:hAnsi="Times New Roman" w:cs="Times New Roman"/>
          <w:szCs w:val="20"/>
          <w:lang w:val="en-US"/>
        </w:rPr>
        <w:t>: FUNEP, 588p, 2012. 590p.</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lang w:val="en-US"/>
        </w:rPr>
        <w:t>CHRISTRO, L. F.; AMARAL, J. F. T. do.; LAVIOLA, B. G.; MARTINS, L. D.; AMARAL, C. F. Biometric analysis of seeds of genotypes of physic nut (</w:t>
      </w:r>
      <w:proofErr w:type="spellStart"/>
      <w:r w:rsidRPr="002B5C3E">
        <w:rPr>
          <w:rFonts w:ascii="Times New Roman" w:hAnsi="Times New Roman" w:cs="Times New Roman"/>
          <w:i/>
          <w:iCs/>
          <w:szCs w:val="20"/>
          <w:lang w:val="en-US"/>
        </w:rPr>
        <w:t>Jatrophacurcas</w:t>
      </w:r>
      <w:r w:rsidRPr="002B5C3E">
        <w:rPr>
          <w:rFonts w:ascii="Times New Roman" w:hAnsi="Times New Roman" w:cs="Times New Roman"/>
          <w:szCs w:val="20"/>
          <w:lang w:val="en-US"/>
        </w:rPr>
        <w:t>L</w:t>
      </w:r>
      <w:proofErr w:type="spellEnd"/>
      <w:r w:rsidRPr="002B5C3E">
        <w:rPr>
          <w:rFonts w:ascii="Times New Roman" w:hAnsi="Times New Roman" w:cs="Times New Roman"/>
          <w:szCs w:val="20"/>
          <w:lang w:val="en-US"/>
        </w:rPr>
        <w:t xml:space="preserve">.). </w:t>
      </w:r>
      <w:r w:rsidRPr="002B5C3E">
        <w:rPr>
          <w:rFonts w:ascii="Times New Roman" w:hAnsi="Times New Roman" w:cs="Times New Roman"/>
          <w:b/>
          <w:szCs w:val="20"/>
        </w:rPr>
        <w:t>Agropecuária Científica no Semiárido</w:t>
      </w:r>
      <w:r w:rsidRPr="002B5C3E">
        <w:rPr>
          <w:rFonts w:ascii="Times New Roman" w:hAnsi="Times New Roman" w:cs="Times New Roman"/>
          <w:szCs w:val="20"/>
        </w:rPr>
        <w:t>, v.8, n.1, p. 01-03, 2012.</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ENIEL, D. C.; MARTINS, F. O.; CARVALHO, J.E.U. Biometria de sementes e germinação de jatobá-</w:t>
      </w:r>
      <w:proofErr w:type="spellStart"/>
      <w:r w:rsidRPr="002B5C3E">
        <w:rPr>
          <w:rFonts w:ascii="Times New Roman" w:hAnsi="Times New Roman" w:cs="Times New Roman"/>
          <w:szCs w:val="20"/>
        </w:rPr>
        <w:t>curuba</w:t>
      </w:r>
      <w:proofErr w:type="spellEnd"/>
      <w:r w:rsidRPr="002B5C3E">
        <w:rPr>
          <w:rFonts w:ascii="Times New Roman" w:hAnsi="Times New Roman" w:cs="Times New Roman"/>
          <w:szCs w:val="20"/>
        </w:rPr>
        <w:t xml:space="preserve"> (</w:t>
      </w:r>
      <w:proofErr w:type="spellStart"/>
      <w:r w:rsidRPr="002B5C3E">
        <w:rPr>
          <w:rFonts w:ascii="Times New Roman" w:hAnsi="Times New Roman" w:cs="Times New Roman"/>
          <w:i/>
          <w:szCs w:val="20"/>
        </w:rPr>
        <w:t>Hymenaea</w:t>
      </w:r>
      <w:proofErr w:type="spellEnd"/>
      <w:r w:rsidRPr="002B5C3E">
        <w:rPr>
          <w:rFonts w:ascii="Times New Roman" w:hAnsi="Times New Roman" w:cs="Times New Roman"/>
          <w:i/>
          <w:szCs w:val="20"/>
        </w:rPr>
        <w:t xml:space="preserve"> </w:t>
      </w:r>
      <w:proofErr w:type="spellStart"/>
      <w:r w:rsidRPr="002B5C3E">
        <w:rPr>
          <w:rFonts w:ascii="Times New Roman" w:hAnsi="Times New Roman" w:cs="Times New Roman"/>
          <w:i/>
          <w:szCs w:val="20"/>
        </w:rPr>
        <w:t>intermédia</w:t>
      </w:r>
      <w:r w:rsidRPr="002B5C3E">
        <w:rPr>
          <w:rFonts w:ascii="Times New Roman" w:hAnsi="Times New Roman" w:cs="Times New Roman"/>
          <w:szCs w:val="20"/>
        </w:rPr>
        <w:t>Ducke</w:t>
      </w:r>
      <w:proofErr w:type="spellEnd"/>
      <w:r w:rsidRPr="002B5C3E">
        <w:rPr>
          <w:rFonts w:ascii="Times New Roman" w:hAnsi="Times New Roman" w:cs="Times New Roman"/>
          <w:szCs w:val="20"/>
        </w:rPr>
        <w:t xml:space="preserve">, </w:t>
      </w:r>
      <w:proofErr w:type="spellStart"/>
      <w:r w:rsidRPr="002B5C3E">
        <w:rPr>
          <w:rFonts w:ascii="Times New Roman" w:hAnsi="Times New Roman" w:cs="Times New Roman"/>
          <w:szCs w:val="20"/>
        </w:rPr>
        <w:t>Leguminoseae-Caesalpinioideae</w:t>
      </w:r>
      <w:proofErr w:type="spellEnd"/>
      <w:r w:rsidRPr="002B5C3E">
        <w:rPr>
          <w:rFonts w:ascii="Times New Roman" w:hAnsi="Times New Roman" w:cs="Times New Roman"/>
          <w:szCs w:val="20"/>
        </w:rPr>
        <w:t xml:space="preserve">). </w:t>
      </w:r>
      <w:r w:rsidRPr="002B5C3E">
        <w:rPr>
          <w:rFonts w:ascii="Times New Roman" w:hAnsi="Times New Roman" w:cs="Times New Roman"/>
          <w:b/>
          <w:szCs w:val="20"/>
        </w:rPr>
        <w:t>Revista Brasileira de Botânica</w:t>
      </w:r>
      <w:r w:rsidRPr="002B5C3E">
        <w:rPr>
          <w:rFonts w:ascii="Times New Roman" w:hAnsi="Times New Roman" w:cs="Times New Roman"/>
          <w:szCs w:val="20"/>
        </w:rPr>
        <w:t xml:space="preserve">, São Paulo, v.4, n.2, p.1-6, 2001. </w:t>
      </w:r>
    </w:p>
    <w:p w:rsidR="00B85FED" w:rsidRPr="002B5C3E" w:rsidRDefault="00B85FED" w:rsidP="00B85FED">
      <w:pPr>
        <w:autoSpaceDE w:val="0"/>
        <w:autoSpaceDN w:val="0"/>
        <w:adjustRightInd w:val="0"/>
        <w:spacing w:after="0" w:line="240" w:lineRule="auto"/>
        <w:jc w:val="both"/>
        <w:rPr>
          <w:rFonts w:ascii="Times New Roman" w:hAnsi="Times New Roman" w:cs="Times New Roman"/>
          <w:szCs w:val="20"/>
        </w:rPr>
      </w:pPr>
      <w:r w:rsidRPr="002B5C3E">
        <w:rPr>
          <w:rFonts w:ascii="Times New Roman" w:hAnsi="Times New Roman" w:cs="Times New Roman"/>
          <w:szCs w:val="20"/>
        </w:rPr>
        <w:t>GONÇALVES, L. G. V.; ANDRADE, F. R.; MARIMON JUNIOR, B. H.; SCHOSSLER, T. R.; LENZA, E.; MARIMON, B. S. Biometria de frutos e sementes de mangaba (</w:t>
      </w:r>
      <w:proofErr w:type="spellStart"/>
      <w:r w:rsidRPr="002B5C3E">
        <w:rPr>
          <w:rFonts w:ascii="Times New Roman" w:hAnsi="Times New Roman" w:cs="Times New Roman"/>
          <w:szCs w:val="20"/>
        </w:rPr>
        <w:t>Hancorniaspeciosa</w:t>
      </w:r>
      <w:proofErr w:type="spellEnd"/>
      <w:r w:rsidRPr="002B5C3E">
        <w:rPr>
          <w:rFonts w:ascii="Times New Roman" w:hAnsi="Times New Roman" w:cs="Times New Roman"/>
          <w:szCs w:val="20"/>
        </w:rPr>
        <w:t xml:space="preserve"> Gomes) em vegetação natural na região leste de Mato Grosso, Brasil. </w:t>
      </w:r>
      <w:r w:rsidRPr="002B5C3E">
        <w:rPr>
          <w:rFonts w:ascii="Times New Roman" w:hAnsi="Times New Roman" w:cs="Times New Roman"/>
          <w:b/>
          <w:szCs w:val="20"/>
        </w:rPr>
        <w:t>Rev. de Ciências Agrárias</w:t>
      </w:r>
      <w:r w:rsidRPr="002B5C3E">
        <w:rPr>
          <w:rFonts w:ascii="Times New Roman" w:hAnsi="Times New Roman" w:cs="Times New Roman"/>
          <w:szCs w:val="20"/>
        </w:rPr>
        <w:t>, Lisboa, v.36, n.1, p.36-40, 2013.</w:t>
      </w:r>
    </w:p>
    <w:p w:rsidR="00B85FED" w:rsidRPr="002B5C3E" w:rsidRDefault="00B85FED" w:rsidP="00B85FED">
      <w:pPr>
        <w:autoSpaceDE w:val="0"/>
        <w:autoSpaceDN w:val="0"/>
        <w:adjustRightInd w:val="0"/>
        <w:spacing w:after="0" w:line="240" w:lineRule="auto"/>
        <w:jc w:val="both"/>
        <w:rPr>
          <w:rFonts w:ascii="Times New Roman" w:hAnsi="Times New Roman" w:cs="Times New Roman"/>
          <w:szCs w:val="20"/>
        </w:rPr>
      </w:pPr>
    </w:p>
    <w:p w:rsidR="00B85FED" w:rsidRPr="002B5C3E" w:rsidRDefault="00B85FED" w:rsidP="00B85FED">
      <w:pPr>
        <w:autoSpaceDE w:val="0"/>
        <w:autoSpaceDN w:val="0"/>
        <w:adjustRightInd w:val="0"/>
        <w:spacing w:after="0" w:line="240" w:lineRule="auto"/>
        <w:jc w:val="both"/>
        <w:rPr>
          <w:rFonts w:ascii="Times New Roman" w:hAnsi="Times New Roman" w:cs="Times New Roman"/>
          <w:szCs w:val="20"/>
        </w:rPr>
      </w:pPr>
      <w:r w:rsidRPr="002B5C3E">
        <w:rPr>
          <w:rFonts w:ascii="Times New Roman" w:hAnsi="Times New Roman" w:cs="Times New Roman"/>
          <w:szCs w:val="20"/>
        </w:rPr>
        <w:t>GUSMÃO, E.; VIEIRA, F. A.; FONSECA, E. M. Biometria de frutos e endocarpos de murici (</w:t>
      </w:r>
      <w:proofErr w:type="spellStart"/>
      <w:r w:rsidRPr="002B5C3E">
        <w:rPr>
          <w:rFonts w:ascii="Times New Roman" w:hAnsi="Times New Roman" w:cs="Times New Roman"/>
          <w:i/>
          <w:iCs/>
          <w:szCs w:val="20"/>
        </w:rPr>
        <w:t>Byrsonimaverbascifolia</w:t>
      </w:r>
      <w:r w:rsidRPr="002B5C3E">
        <w:rPr>
          <w:rFonts w:ascii="Times New Roman" w:hAnsi="Times New Roman" w:cs="Times New Roman"/>
          <w:szCs w:val="20"/>
        </w:rPr>
        <w:t>Rich</w:t>
      </w:r>
      <w:proofErr w:type="spellEnd"/>
      <w:r w:rsidRPr="002B5C3E">
        <w:rPr>
          <w:rFonts w:ascii="Times New Roman" w:hAnsi="Times New Roman" w:cs="Times New Roman"/>
          <w:szCs w:val="20"/>
        </w:rPr>
        <w:t xml:space="preserve">. </w:t>
      </w:r>
      <w:proofErr w:type="spellStart"/>
      <w:r w:rsidRPr="002B5C3E">
        <w:rPr>
          <w:rFonts w:ascii="Times New Roman" w:hAnsi="Times New Roman" w:cs="Times New Roman"/>
          <w:szCs w:val="20"/>
        </w:rPr>
        <w:t>Ex</w:t>
      </w:r>
      <w:proofErr w:type="spellEnd"/>
      <w:r w:rsidRPr="002B5C3E">
        <w:rPr>
          <w:rFonts w:ascii="Times New Roman" w:hAnsi="Times New Roman" w:cs="Times New Roman"/>
          <w:szCs w:val="20"/>
        </w:rPr>
        <w:t xml:space="preserve"> A. </w:t>
      </w:r>
      <w:proofErr w:type="spellStart"/>
      <w:r w:rsidRPr="002B5C3E">
        <w:rPr>
          <w:rFonts w:ascii="Times New Roman" w:hAnsi="Times New Roman" w:cs="Times New Roman"/>
          <w:szCs w:val="20"/>
        </w:rPr>
        <w:t>Juss</w:t>
      </w:r>
      <w:proofErr w:type="spellEnd"/>
      <w:r w:rsidRPr="002B5C3E">
        <w:rPr>
          <w:rFonts w:ascii="Times New Roman" w:hAnsi="Times New Roman" w:cs="Times New Roman"/>
          <w:szCs w:val="20"/>
        </w:rPr>
        <w:t xml:space="preserve">.). </w:t>
      </w:r>
      <w:r w:rsidRPr="002B5C3E">
        <w:rPr>
          <w:rFonts w:ascii="Times New Roman" w:hAnsi="Times New Roman" w:cs="Times New Roman"/>
          <w:b/>
          <w:szCs w:val="20"/>
        </w:rPr>
        <w:t>Cerne</w:t>
      </w:r>
      <w:r w:rsidRPr="002B5C3E">
        <w:rPr>
          <w:rFonts w:ascii="Times New Roman" w:hAnsi="Times New Roman" w:cs="Times New Roman"/>
          <w:szCs w:val="20"/>
        </w:rPr>
        <w:t>, v.12, n.1, p.84-91, 2006.</w:t>
      </w:r>
    </w:p>
    <w:p w:rsidR="00B85FED" w:rsidRPr="002B5C3E" w:rsidRDefault="00B85FED" w:rsidP="00B85FED">
      <w:pPr>
        <w:autoSpaceDE w:val="0"/>
        <w:autoSpaceDN w:val="0"/>
        <w:adjustRightInd w:val="0"/>
        <w:spacing w:after="0" w:line="240" w:lineRule="auto"/>
        <w:jc w:val="both"/>
        <w:rPr>
          <w:rFonts w:ascii="Times New Roman" w:eastAsia="MinionPro-Regular" w:hAnsi="Times New Roman" w:cs="Times New Roman"/>
          <w:szCs w:val="20"/>
        </w:rPr>
      </w:pPr>
    </w:p>
    <w:p w:rsidR="00B85FED" w:rsidRPr="002B5C3E" w:rsidRDefault="00B85FED" w:rsidP="00B85FED">
      <w:pPr>
        <w:autoSpaceDE w:val="0"/>
        <w:autoSpaceDN w:val="0"/>
        <w:adjustRightInd w:val="0"/>
        <w:spacing w:after="0" w:line="240" w:lineRule="auto"/>
        <w:jc w:val="both"/>
        <w:rPr>
          <w:rFonts w:ascii="Times New Roman" w:eastAsia="MinionPro-Regular" w:hAnsi="Times New Roman" w:cs="Times New Roman"/>
          <w:szCs w:val="20"/>
        </w:rPr>
      </w:pPr>
      <w:r w:rsidRPr="002B5C3E">
        <w:rPr>
          <w:rFonts w:ascii="Times New Roman" w:eastAsia="MinionPro-Regular" w:hAnsi="Times New Roman" w:cs="Times New Roman"/>
          <w:szCs w:val="20"/>
        </w:rPr>
        <w:t xml:space="preserve">LORENZI, H. </w:t>
      </w:r>
      <w:r w:rsidRPr="002B5C3E">
        <w:rPr>
          <w:rFonts w:ascii="Times New Roman" w:eastAsia="MinionPro-Regular" w:hAnsi="Times New Roman" w:cs="Times New Roman"/>
          <w:b/>
          <w:bCs/>
          <w:szCs w:val="20"/>
        </w:rPr>
        <w:t>Árvores brasileiras</w:t>
      </w:r>
      <w:r w:rsidRPr="002B5C3E">
        <w:rPr>
          <w:rFonts w:ascii="Times New Roman" w:eastAsia="MinionPro-Regular" w:hAnsi="Times New Roman" w:cs="Times New Roman"/>
          <w:szCs w:val="20"/>
        </w:rPr>
        <w:t xml:space="preserve">: manual de </w:t>
      </w:r>
      <w:proofErr w:type="spellStart"/>
      <w:r w:rsidRPr="002B5C3E">
        <w:rPr>
          <w:rFonts w:ascii="Times New Roman" w:eastAsia="MinionPro-Regular" w:hAnsi="Times New Roman" w:cs="Times New Roman"/>
          <w:szCs w:val="20"/>
        </w:rPr>
        <w:t>identificacao</w:t>
      </w:r>
      <w:proofErr w:type="spellEnd"/>
      <w:r w:rsidRPr="002B5C3E">
        <w:rPr>
          <w:rFonts w:ascii="Times New Roman" w:eastAsia="MinionPro-Regular" w:hAnsi="Times New Roman" w:cs="Times New Roman"/>
          <w:szCs w:val="20"/>
        </w:rPr>
        <w:t xml:space="preserve"> e cultivo de plantas </w:t>
      </w:r>
      <w:proofErr w:type="spellStart"/>
      <w:r w:rsidRPr="002B5C3E">
        <w:rPr>
          <w:rFonts w:ascii="Times New Roman" w:eastAsia="MinionPro-Regular" w:hAnsi="Times New Roman" w:cs="Times New Roman"/>
          <w:szCs w:val="20"/>
        </w:rPr>
        <w:t>arboreas</w:t>
      </w:r>
      <w:proofErr w:type="spellEnd"/>
      <w:r w:rsidRPr="002B5C3E">
        <w:rPr>
          <w:rFonts w:ascii="Times New Roman" w:eastAsia="MinionPro-Regular" w:hAnsi="Times New Roman" w:cs="Times New Roman"/>
          <w:szCs w:val="20"/>
        </w:rPr>
        <w:t xml:space="preserve"> nativas do Brasil. </w:t>
      </w:r>
      <w:proofErr w:type="spellStart"/>
      <w:r w:rsidRPr="002B5C3E">
        <w:rPr>
          <w:rFonts w:ascii="Times New Roman" w:eastAsia="MinionPro-Regular" w:hAnsi="Times New Roman" w:cs="Times New Roman"/>
          <w:szCs w:val="20"/>
        </w:rPr>
        <w:t>Sao</w:t>
      </w:r>
      <w:proofErr w:type="spellEnd"/>
      <w:r w:rsidRPr="002B5C3E">
        <w:rPr>
          <w:rFonts w:ascii="Times New Roman" w:eastAsia="MinionPro-Regular" w:hAnsi="Times New Roman" w:cs="Times New Roman"/>
          <w:szCs w:val="20"/>
        </w:rPr>
        <w:t xml:space="preserve"> Paulo, Instituto </w:t>
      </w:r>
      <w:proofErr w:type="spellStart"/>
      <w:r w:rsidRPr="002B5C3E">
        <w:rPr>
          <w:rFonts w:ascii="Times New Roman" w:eastAsia="MinionPro-Regular" w:hAnsi="Times New Roman" w:cs="Times New Roman"/>
          <w:szCs w:val="20"/>
        </w:rPr>
        <w:t>Plantarum</w:t>
      </w:r>
      <w:proofErr w:type="spellEnd"/>
      <w:r w:rsidRPr="002B5C3E">
        <w:rPr>
          <w:rFonts w:ascii="Times New Roman" w:eastAsia="MinionPro-Regular" w:hAnsi="Times New Roman" w:cs="Times New Roman"/>
          <w:szCs w:val="20"/>
        </w:rPr>
        <w:t>, 2008.</w:t>
      </w:r>
    </w:p>
    <w:p w:rsidR="00B85FED" w:rsidRPr="002B5C3E" w:rsidRDefault="00B85FED" w:rsidP="00B85FED">
      <w:pPr>
        <w:autoSpaceDE w:val="0"/>
        <w:autoSpaceDN w:val="0"/>
        <w:adjustRightInd w:val="0"/>
        <w:spacing w:after="0" w:line="240" w:lineRule="auto"/>
        <w:jc w:val="both"/>
        <w:rPr>
          <w:rFonts w:ascii="Times New Roman" w:eastAsia="MinionPro-Regular" w:hAnsi="Times New Roman" w:cs="Times New Roman"/>
          <w:szCs w:val="20"/>
        </w:rPr>
      </w:pP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MAIA, G.N. </w:t>
      </w:r>
      <w:r w:rsidRPr="002B5C3E">
        <w:rPr>
          <w:rFonts w:ascii="Times New Roman" w:hAnsi="Times New Roman" w:cs="Times New Roman"/>
          <w:b/>
          <w:bCs/>
          <w:szCs w:val="20"/>
        </w:rPr>
        <w:t>Caatinga árvores e arbustos e suas utilidades</w:t>
      </w:r>
      <w:r w:rsidRPr="002B5C3E">
        <w:rPr>
          <w:rFonts w:ascii="Times New Roman" w:hAnsi="Times New Roman" w:cs="Times New Roman"/>
          <w:szCs w:val="20"/>
        </w:rPr>
        <w:t xml:space="preserve">. São </w:t>
      </w:r>
      <w:proofErr w:type="gramStart"/>
      <w:r w:rsidRPr="002B5C3E">
        <w:rPr>
          <w:rFonts w:ascii="Times New Roman" w:hAnsi="Times New Roman" w:cs="Times New Roman"/>
          <w:szCs w:val="20"/>
        </w:rPr>
        <w:t>Paulo :D</w:t>
      </w:r>
      <w:proofErr w:type="gramEnd"/>
      <w:r w:rsidRPr="002B5C3E">
        <w:rPr>
          <w:rFonts w:ascii="Times New Roman" w:hAnsi="Times New Roman" w:cs="Times New Roman"/>
          <w:szCs w:val="20"/>
        </w:rPr>
        <w:t xml:space="preserve">&amp;Z Computação </w:t>
      </w:r>
      <w:proofErr w:type="spellStart"/>
      <w:r w:rsidRPr="002B5C3E">
        <w:rPr>
          <w:rFonts w:ascii="Times New Roman" w:hAnsi="Times New Roman" w:cs="Times New Roman"/>
          <w:szCs w:val="20"/>
        </w:rPr>
        <w:t>Grafica</w:t>
      </w:r>
      <w:proofErr w:type="spellEnd"/>
      <w:r w:rsidRPr="002B5C3E">
        <w:rPr>
          <w:rFonts w:ascii="Times New Roman" w:hAnsi="Times New Roman" w:cs="Times New Roman"/>
          <w:szCs w:val="20"/>
        </w:rPr>
        <w:t xml:space="preserve"> e Editora,1 Ed., 2004.</w:t>
      </w:r>
    </w:p>
    <w:p w:rsidR="00B85FED" w:rsidRPr="002B5C3E" w:rsidRDefault="00B85FED" w:rsidP="00B85FED">
      <w:pPr>
        <w:autoSpaceDE w:val="0"/>
        <w:autoSpaceDN w:val="0"/>
        <w:adjustRightInd w:val="0"/>
        <w:spacing w:line="240" w:lineRule="auto"/>
        <w:jc w:val="both"/>
        <w:rPr>
          <w:rFonts w:ascii="Times New Roman" w:hAnsi="Times New Roman" w:cs="Times New Roman"/>
          <w:szCs w:val="20"/>
        </w:rPr>
      </w:pPr>
      <w:r w:rsidRPr="002B5C3E">
        <w:rPr>
          <w:rFonts w:ascii="Times New Roman" w:hAnsi="Times New Roman" w:cs="Times New Roman"/>
          <w:szCs w:val="20"/>
        </w:rPr>
        <w:t xml:space="preserve">NIETSCHE, S.; GONÇALVES, V. D.; PEREIRA, M. C. T.; SANTOS, F. A.; ABREU, S. C.; MOTA, W. F. Tamanho da semente e substratos na germinação e crescimento inicial de mudas de </w:t>
      </w:r>
      <w:proofErr w:type="spellStart"/>
      <w:r w:rsidRPr="002B5C3E">
        <w:rPr>
          <w:rFonts w:ascii="Times New Roman" w:hAnsi="Times New Roman" w:cs="Times New Roman"/>
          <w:szCs w:val="20"/>
        </w:rPr>
        <w:t>cagaiteira</w:t>
      </w:r>
      <w:proofErr w:type="spellEnd"/>
      <w:r w:rsidRPr="002B5C3E">
        <w:rPr>
          <w:rFonts w:ascii="Times New Roman" w:hAnsi="Times New Roman" w:cs="Times New Roman"/>
          <w:szCs w:val="20"/>
        </w:rPr>
        <w:t xml:space="preserve">. </w:t>
      </w:r>
      <w:r w:rsidRPr="002B5C3E">
        <w:rPr>
          <w:rFonts w:ascii="Times New Roman" w:hAnsi="Times New Roman" w:cs="Times New Roman"/>
          <w:b/>
          <w:bCs/>
          <w:szCs w:val="20"/>
        </w:rPr>
        <w:t xml:space="preserve">Ciência </w:t>
      </w:r>
      <w:proofErr w:type="spellStart"/>
      <w:r w:rsidRPr="002B5C3E">
        <w:rPr>
          <w:rFonts w:ascii="Times New Roman" w:hAnsi="Times New Roman" w:cs="Times New Roman"/>
          <w:b/>
          <w:bCs/>
          <w:szCs w:val="20"/>
        </w:rPr>
        <w:t>eAgrotecnologia</w:t>
      </w:r>
      <w:proofErr w:type="spellEnd"/>
      <w:r w:rsidRPr="002B5C3E">
        <w:rPr>
          <w:rFonts w:ascii="Times New Roman" w:hAnsi="Times New Roman" w:cs="Times New Roman"/>
          <w:szCs w:val="20"/>
        </w:rPr>
        <w:t>, v.28, n.6, p.1321-1325, 2004</w:t>
      </w:r>
    </w:p>
    <w:p w:rsidR="00B85FED" w:rsidRPr="002B5C3E" w:rsidRDefault="00B85FED" w:rsidP="00B85FED">
      <w:pPr>
        <w:autoSpaceDE w:val="0"/>
        <w:autoSpaceDN w:val="0"/>
        <w:adjustRightInd w:val="0"/>
        <w:spacing w:after="0" w:line="240" w:lineRule="auto"/>
        <w:jc w:val="both"/>
        <w:rPr>
          <w:rFonts w:ascii="Times New Roman" w:hAnsi="Times New Roman" w:cs="Times New Roman"/>
          <w:szCs w:val="20"/>
        </w:rPr>
      </w:pPr>
      <w:r w:rsidRPr="002B5C3E">
        <w:rPr>
          <w:rFonts w:ascii="Times New Roman" w:eastAsia="MinionPro-Regular" w:hAnsi="Times New Roman" w:cs="Times New Roman"/>
          <w:szCs w:val="20"/>
        </w:rPr>
        <w:t xml:space="preserve">NOGUEIRA, F.C.B.; SILVA, </w:t>
      </w:r>
      <w:proofErr w:type="gramStart"/>
      <w:r w:rsidRPr="002B5C3E">
        <w:rPr>
          <w:rFonts w:ascii="Times New Roman" w:eastAsia="MinionPro-Regular" w:hAnsi="Times New Roman" w:cs="Times New Roman"/>
          <w:szCs w:val="20"/>
        </w:rPr>
        <w:t>J.W.L.;BEZERRA</w:t>
      </w:r>
      <w:proofErr w:type="gramEnd"/>
      <w:r w:rsidRPr="002B5C3E">
        <w:rPr>
          <w:rFonts w:ascii="Times New Roman" w:eastAsia="MinionPro-Regular" w:hAnsi="Times New Roman" w:cs="Times New Roman"/>
          <w:szCs w:val="20"/>
        </w:rPr>
        <w:t>, A.M.E.; MEDEIROS FILHO, S.</w:t>
      </w:r>
      <w:r w:rsidRPr="002B5C3E">
        <w:rPr>
          <w:rFonts w:ascii="Times New Roman" w:hAnsi="Times New Roman" w:cs="Times New Roman"/>
          <w:szCs w:val="20"/>
        </w:rPr>
        <w:t xml:space="preserve"> Efeito da temperatura e luz na germinação de sementes de </w:t>
      </w:r>
      <w:proofErr w:type="spellStart"/>
      <w:r w:rsidRPr="002B5C3E">
        <w:rPr>
          <w:rFonts w:ascii="Times New Roman" w:hAnsi="Times New Roman" w:cs="Times New Roman"/>
          <w:i/>
          <w:iCs/>
          <w:szCs w:val="20"/>
        </w:rPr>
        <w:t>Luetzelburgiaauriculata</w:t>
      </w:r>
      <w:proofErr w:type="spellEnd"/>
      <w:r w:rsidRPr="002B5C3E">
        <w:rPr>
          <w:rFonts w:ascii="Times New Roman" w:hAnsi="Times New Roman" w:cs="Times New Roman"/>
          <w:szCs w:val="20"/>
        </w:rPr>
        <w:t xml:space="preserve">(Alemão) </w:t>
      </w:r>
      <w:proofErr w:type="spellStart"/>
      <w:r w:rsidRPr="002B5C3E">
        <w:rPr>
          <w:rFonts w:ascii="Times New Roman" w:hAnsi="Times New Roman" w:cs="Times New Roman"/>
          <w:szCs w:val="20"/>
        </w:rPr>
        <w:t>Ducke</w:t>
      </w:r>
      <w:proofErr w:type="spellEnd"/>
      <w:r w:rsidRPr="002B5C3E">
        <w:rPr>
          <w:rFonts w:ascii="Times New Roman" w:hAnsi="Times New Roman" w:cs="Times New Roman"/>
          <w:szCs w:val="20"/>
        </w:rPr>
        <w:t xml:space="preserve"> – </w:t>
      </w:r>
      <w:proofErr w:type="spellStart"/>
      <w:r w:rsidRPr="002B5C3E">
        <w:rPr>
          <w:rFonts w:ascii="Times New Roman" w:hAnsi="Times New Roman" w:cs="Times New Roman"/>
          <w:szCs w:val="20"/>
        </w:rPr>
        <w:t>Fabaceae</w:t>
      </w:r>
      <w:proofErr w:type="spellEnd"/>
      <w:r w:rsidRPr="002B5C3E">
        <w:rPr>
          <w:rFonts w:ascii="Times New Roman" w:hAnsi="Times New Roman" w:cs="Times New Roman"/>
          <w:szCs w:val="20"/>
        </w:rPr>
        <w:t xml:space="preserve">. Revista </w:t>
      </w:r>
      <w:r w:rsidRPr="002B5C3E">
        <w:rPr>
          <w:rFonts w:ascii="Times New Roman" w:hAnsi="Times New Roman" w:cs="Times New Roman"/>
          <w:b/>
          <w:bCs/>
          <w:i/>
          <w:iCs/>
          <w:szCs w:val="20"/>
        </w:rPr>
        <w:t xml:space="preserve">Acta </w:t>
      </w:r>
      <w:proofErr w:type="spellStart"/>
      <w:r w:rsidRPr="002B5C3E">
        <w:rPr>
          <w:rFonts w:ascii="Times New Roman" w:hAnsi="Times New Roman" w:cs="Times New Roman"/>
          <w:b/>
          <w:bCs/>
          <w:i/>
          <w:iCs/>
          <w:szCs w:val="20"/>
        </w:rPr>
        <w:t>BotanicaBrasilica</w:t>
      </w:r>
      <w:proofErr w:type="spellEnd"/>
      <w:r w:rsidRPr="002B5C3E">
        <w:rPr>
          <w:rFonts w:ascii="Times New Roman" w:hAnsi="Times New Roman" w:cs="Times New Roman"/>
          <w:b/>
          <w:bCs/>
          <w:i/>
          <w:iCs/>
          <w:szCs w:val="20"/>
        </w:rPr>
        <w:t xml:space="preserve">, </w:t>
      </w:r>
      <w:r w:rsidRPr="002B5C3E">
        <w:rPr>
          <w:rFonts w:ascii="Times New Roman" w:hAnsi="Times New Roman" w:cs="Times New Roman"/>
          <w:b/>
          <w:bCs/>
          <w:szCs w:val="20"/>
        </w:rPr>
        <w:t>Belo Horizonte, v.</w:t>
      </w:r>
      <w:r w:rsidRPr="002B5C3E">
        <w:rPr>
          <w:rFonts w:ascii="Times New Roman" w:hAnsi="Times New Roman" w:cs="Times New Roman"/>
          <w:szCs w:val="20"/>
        </w:rPr>
        <w:t xml:space="preserve"> 26, n. 4, p. 772-778, 2012.</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QUEIROZ, L.P. DE. </w:t>
      </w:r>
      <w:r w:rsidRPr="002B5C3E">
        <w:rPr>
          <w:rFonts w:ascii="Times New Roman" w:hAnsi="Times New Roman" w:cs="Times New Roman"/>
          <w:b/>
          <w:bCs/>
          <w:szCs w:val="20"/>
        </w:rPr>
        <w:t>Leguminosas da caatinga</w:t>
      </w:r>
      <w:r w:rsidRPr="002B5C3E">
        <w:rPr>
          <w:rFonts w:ascii="Times New Roman" w:hAnsi="Times New Roman" w:cs="Times New Roman"/>
          <w:szCs w:val="20"/>
        </w:rPr>
        <w:t>. Feira de Santana: Universidade Estadual de Feira de Santana, 467 p, 2009.</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SANGALI, A. </w:t>
      </w:r>
      <w:r w:rsidRPr="002B5C3E">
        <w:rPr>
          <w:rFonts w:ascii="Times New Roman" w:hAnsi="Times New Roman" w:cs="Times New Roman"/>
          <w:b/>
          <w:szCs w:val="20"/>
        </w:rPr>
        <w:t xml:space="preserve">Propagação, desenvolvimento, anatomia e preservação </w:t>
      </w:r>
      <w:proofErr w:type="spellStart"/>
      <w:r w:rsidRPr="002B5C3E">
        <w:rPr>
          <w:rFonts w:ascii="Times New Roman" w:hAnsi="Times New Roman" w:cs="Times New Roman"/>
          <w:b/>
          <w:szCs w:val="20"/>
        </w:rPr>
        <w:t>ex</w:t>
      </w:r>
      <w:proofErr w:type="spellEnd"/>
      <w:r w:rsidRPr="002B5C3E">
        <w:rPr>
          <w:rFonts w:ascii="Times New Roman" w:hAnsi="Times New Roman" w:cs="Times New Roman"/>
          <w:b/>
          <w:szCs w:val="20"/>
        </w:rPr>
        <w:t xml:space="preserve"> situ de </w:t>
      </w:r>
      <w:proofErr w:type="spellStart"/>
      <w:r w:rsidRPr="002B5C3E">
        <w:rPr>
          <w:rFonts w:ascii="Times New Roman" w:hAnsi="Times New Roman" w:cs="Times New Roman"/>
          <w:b/>
          <w:i/>
          <w:szCs w:val="20"/>
        </w:rPr>
        <w:t>Jacarandadecurrens</w:t>
      </w:r>
      <w:r w:rsidRPr="002B5C3E">
        <w:rPr>
          <w:rFonts w:ascii="Times New Roman" w:hAnsi="Times New Roman" w:cs="Times New Roman"/>
          <w:b/>
          <w:szCs w:val="20"/>
        </w:rPr>
        <w:t>subs</w:t>
      </w:r>
      <w:proofErr w:type="spellEnd"/>
      <w:r w:rsidRPr="002B5C3E">
        <w:rPr>
          <w:rFonts w:ascii="Times New Roman" w:hAnsi="Times New Roman" w:cs="Times New Roman"/>
          <w:b/>
          <w:szCs w:val="20"/>
        </w:rPr>
        <w:t xml:space="preserve">. </w:t>
      </w:r>
      <w:proofErr w:type="spellStart"/>
      <w:r w:rsidRPr="002B5C3E">
        <w:rPr>
          <w:rFonts w:ascii="Times New Roman" w:hAnsi="Times New Roman" w:cs="Times New Roman"/>
          <w:b/>
          <w:szCs w:val="20"/>
        </w:rPr>
        <w:t>Symmetrifoliolata</w:t>
      </w:r>
      <w:proofErr w:type="spellEnd"/>
      <w:r w:rsidRPr="002B5C3E">
        <w:rPr>
          <w:rFonts w:ascii="Times New Roman" w:hAnsi="Times New Roman" w:cs="Times New Roman"/>
          <w:b/>
          <w:szCs w:val="20"/>
        </w:rPr>
        <w:t xml:space="preserve"> (Farias &amp; Proença).</w:t>
      </w:r>
      <w:r w:rsidRPr="002B5C3E">
        <w:rPr>
          <w:rFonts w:ascii="Times New Roman" w:hAnsi="Times New Roman" w:cs="Times New Roman"/>
          <w:szCs w:val="20"/>
        </w:rPr>
        <w:t>90</w:t>
      </w:r>
      <w:proofErr w:type="gramStart"/>
      <w:r w:rsidRPr="002B5C3E">
        <w:rPr>
          <w:rFonts w:ascii="Times New Roman" w:hAnsi="Times New Roman" w:cs="Times New Roman"/>
          <w:szCs w:val="20"/>
        </w:rPr>
        <w:t>f .</w:t>
      </w:r>
      <w:proofErr w:type="gramEnd"/>
      <w:r w:rsidRPr="002B5C3E">
        <w:rPr>
          <w:rFonts w:ascii="Times New Roman" w:hAnsi="Times New Roman" w:cs="Times New Roman"/>
          <w:szCs w:val="20"/>
        </w:rPr>
        <w:t xml:space="preserve"> 2008. Tese (Doutorado) - Universidade Federal da Grande Dourados, Dourados. </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SANTOS NETO, A. L.; MEDEIROS FILHO, S.; BLANK, A. F.; SANTOS, V. R.; </w:t>
      </w:r>
      <w:proofErr w:type="gramStart"/>
      <w:r w:rsidRPr="002B5C3E">
        <w:rPr>
          <w:rFonts w:ascii="Times New Roman" w:hAnsi="Times New Roman" w:cs="Times New Roman"/>
          <w:szCs w:val="20"/>
        </w:rPr>
        <w:t>ARAÚJO,E.</w:t>
      </w:r>
      <w:proofErr w:type="gramEnd"/>
      <w:r w:rsidRPr="002B5C3E">
        <w:rPr>
          <w:rFonts w:ascii="Times New Roman" w:hAnsi="Times New Roman" w:cs="Times New Roman"/>
          <w:szCs w:val="20"/>
        </w:rPr>
        <w:t xml:space="preserve"> Influência do peso da semente e promotores químicos na qualidade fisiológica de sementes de </w:t>
      </w:r>
      <w:proofErr w:type="spellStart"/>
      <w:r w:rsidRPr="002B5C3E">
        <w:rPr>
          <w:rFonts w:ascii="Times New Roman" w:hAnsi="Times New Roman" w:cs="Times New Roman"/>
          <w:szCs w:val="20"/>
        </w:rPr>
        <w:t>sambacaitá</w:t>
      </w:r>
      <w:proofErr w:type="spellEnd"/>
      <w:r w:rsidRPr="002B5C3E">
        <w:rPr>
          <w:rFonts w:ascii="Times New Roman" w:hAnsi="Times New Roman" w:cs="Times New Roman"/>
          <w:szCs w:val="20"/>
        </w:rPr>
        <w:t xml:space="preserve">. </w:t>
      </w:r>
      <w:r w:rsidRPr="002B5C3E">
        <w:rPr>
          <w:rFonts w:ascii="Times New Roman" w:hAnsi="Times New Roman" w:cs="Times New Roman"/>
          <w:b/>
          <w:szCs w:val="20"/>
        </w:rPr>
        <w:t>Revista Caatinga</w:t>
      </w:r>
      <w:r w:rsidRPr="002B5C3E">
        <w:rPr>
          <w:rFonts w:ascii="Times New Roman" w:hAnsi="Times New Roman" w:cs="Times New Roman"/>
          <w:szCs w:val="20"/>
        </w:rPr>
        <w:t>, Mossoró, v.22, n.1, p.187-192, 2009.</w:t>
      </w: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szCs w:val="20"/>
        </w:rPr>
        <w:t xml:space="preserve">SOUTO, P. C.; SALES, F. C. V.; SOUTO, J. S.; SANTOS, R. V.; SOUSA, A. A. Biometria de número </w:t>
      </w:r>
      <w:proofErr w:type="spellStart"/>
      <w:r w:rsidRPr="002B5C3E">
        <w:rPr>
          <w:rFonts w:ascii="Times New Roman" w:hAnsi="Times New Roman" w:cs="Times New Roman"/>
          <w:i/>
          <w:szCs w:val="20"/>
        </w:rPr>
        <w:t>Calotropisprocera</w:t>
      </w:r>
      <w:proofErr w:type="spellEnd"/>
      <w:r w:rsidRPr="002B5C3E">
        <w:rPr>
          <w:rFonts w:ascii="Times New Roman" w:hAnsi="Times New Roman" w:cs="Times New Roman"/>
          <w:szCs w:val="20"/>
        </w:rPr>
        <w:t xml:space="preserve"> (</w:t>
      </w:r>
      <w:proofErr w:type="spellStart"/>
      <w:r w:rsidRPr="002B5C3E">
        <w:rPr>
          <w:rFonts w:ascii="Times New Roman" w:hAnsi="Times New Roman" w:cs="Times New Roman"/>
          <w:szCs w:val="20"/>
        </w:rPr>
        <w:t>Ait</w:t>
      </w:r>
      <w:proofErr w:type="spellEnd"/>
      <w:r w:rsidRPr="002B5C3E">
        <w:rPr>
          <w:rFonts w:ascii="Times New Roman" w:hAnsi="Times New Roman" w:cs="Times New Roman"/>
          <w:szCs w:val="20"/>
        </w:rPr>
        <w:t xml:space="preserve">.) R. Br. no semiárido da Paraíba. </w:t>
      </w:r>
      <w:r w:rsidRPr="002B5C3E">
        <w:rPr>
          <w:rFonts w:ascii="Times New Roman" w:hAnsi="Times New Roman" w:cs="Times New Roman"/>
          <w:b/>
          <w:szCs w:val="20"/>
        </w:rPr>
        <w:t>Revista Verde</w:t>
      </w:r>
      <w:r w:rsidRPr="002B5C3E">
        <w:rPr>
          <w:rFonts w:ascii="Times New Roman" w:hAnsi="Times New Roman" w:cs="Times New Roman"/>
          <w:szCs w:val="20"/>
        </w:rPr>
        <w:t xml:space="preserve">, Mossoró, v.3, n.1, p.108 - 113, 2008. </w:t>
      </w:r>
    </w:p>
    <w:p w:rsidR="00B85FED" w:rsidRPr="002B5C3E" w:rsidRDefault="00B85FED" w:rsidP="00B85FED">
      <w:pPr>
        <w:autoSpaceDE w:val="0"/>
        <w:autoSpaceDN w:val="0"/>
        <w:adjustRightInd w:val="0"/>
        <w:spacing w:after="0" w:line="240" w:lineRule="auto"/>
        <w:jc w:val="both"/>
        <w:rPr>
          <w:rFonts w:ascii="Times New Roman" w:hAnsi="Times New Roman" w:cs="Times New Roman"/>
          <w:szCs w:val="20"/>
        </w:rPr>
      </w:pPr>
      <w:r w:rsidRPr="002B5C3E">
        <w:rPr>
          <w:rFonts w:ascii="Times New Roman" w:hAnsi="Times New Roman" w:cs="Times New Roman"/>
          <w:szCs w:val="20"/>
        </w:rPr>
        <w:t xml:space="preserve">VASCONCELOS, A. L. </w:t>
      </w:r>
      <w:r w:rsidRPr="002B5C3E">
        <w:rPr>
          <w:rFonts w:ascii="Times New Roman" w:hAnsi="Times New Roman" w:cs="Times New Roman"/>
          <w:b/>
          <w:szCs w:val="20"/>
        </w:rPr>
        <w:t xml:space="preserve">Perfil anatômico </w:t>
      </w:r>
      <w:proofErr w:type="spellStart"/>
      <w:r w:rsidRPr="002B5C3E">
        <w:rPr>
          <w:rFonts w:ascii="Times New Roman" w:hAnsi="Times New Roman" w:cs="Times New Roman"/>
          <w:b/>
          <w:szCs w:val="20"/>
        </w:rPr>
        <w:t>fitoquímico</w:t>
      </w:r>
      <w:proofErr w:type="spellEnd"/>
      <w:r w:rsidRPr="002B5C3E">
        <w:rPr>
          <w:rFonts w:ascii="Times New Roman" w:hAnsi="Times New Roman" w:cs="Times New Roman"/>
          <w:b/>
          <w:szCs w:val="20"/>
        </w:rPr>
        <w:t xml:space="preserve">, antimicrobiano e citotóxico de </w:t>
      </w:r>
      <w:proofErr w:type="spellStart"/>
      <w:r w:rsidRPr="002B5C3E">
        <w:rPr>
          <w:rFonts w:ascii="Times New Roman" w:hAnsi="Times New Roman" w:cs="Times New Roman"/>
          <w:b/>
          <w:i/>
          <w:szCs w:val="20"/>
        </w:rPr>
        <w:t>Luetzelburgiaauriculata</w:t>
      </w:r>
      <w:proofErr w:type="spellEnd"/>
      <w:r w:rsidRPr="002B5C3E">
        <w:rPr>
          <w:rFonts w:ascii="Times New Roman" w:hAnsi="Times New Roman" w:cs="Times New Roman"/>
          <w:b/>
          <w:szCs w:val="20"/>
        </w:rPr>
        <w:t xml:space="preserve"> (</w:t>
      </w:r>
      <w:proofErr w:type="spellStart"/>
      <w:r w:rsidRPr="002B5C3E">
        <w:rPr>
          <w:rFonts w:ascii="Times New Roman" w:hAnsi="Times New Roman" w:cs="Times New Roman"/>
          <w:b/>
          <w:szCs w:val="20"/>
        </w:rPr>
        <w:t>Allemao</w:t>
      </w:r>
      <w:proofErr w:type="spellEnd"/>
      <w:r w:rsidRPr="002B5C3E">
        <w:rPr>
          <w:rFonts w:ascii="Times New Roman" w:hAnsi="Times New Roman" w:cs="Times New Roman"/>
          <w:b/>
          <w:szCs w:val="20"/>
        </w:rPr>
        <w:t xml:space="preserve">) </w:t>
      </w:r>
      <w:proofErr w:type="spellStart"/>
      <w:r w:rsidRPr="002B5C3E">
        <w:rPr>
          <w:rFonts w:ascii="Times New Roman" w:hAnsi="Times New Roman" w:cs="Times New Roman"/>
          <w:b/>
          <w:szCs w:val="20"/>
        </w:rPr>
        <w:t>Ducke</w:t>
      </w:r>
      <w:proofErr w:type="spellEnd"/>
      <w:r w:rsidRPr="002B5C3E">
        <w:rPr>
          <w:rFonts w:ascii="Times New Roman" w:hAnsi="Times New Roman" w:cs="Times New Roman"/>
          <w:b/>
          <w:szCs w:val="20"/>
        </w:rPr>
        <w:t>.</w:t>
      </w:r>
      <w:r w:rsidRPr="002B5C3E">
        <w:rPr>
          <w:rFonts w:ascii="Times New Roman" w:hAnsi="Times New Roman" w:cs="Times New Roman"/>
          <w:szCs w:val="20"/>
        </w:rPr>
        <w:t xml:space="preserve"> 90f. 2012. Dissertação </w:t>
      </w:r>
      <w:proofErr w:type="gramStart"/>
      <w:r w:rsidRPr="002B5C3E">
        <w:rPr>
          <w:rFonts w:ascii="Times New Roman" w:hAnsi="Times New Roman" w:cs="Times New Roman"/>
          <w:szCs w:val="20"/>
        </w:rPr>
        <w:t>( Mestrado</w:t>
      </w:r>
      <w:proofErr w:type="gramEnd"/>
      <w:r w:rsidRPr="002B5C3E">
        <w:rPr>
          <w:rFonts w:ascii="Times New Roman" w:hAnsi="Times New Roman" w:cs="Times New Roman"/>
          <w:szCs w:val="20"/>
        </w:rPr>
        <w:t xml:space="preserve"> em Ciências Farmacêuticas) Universidade Federal de Pernambuco, Recife-PE</w:t>
      </w:r>
    </w:p>
    <w:p w:rsidR="00B85FED" w:rsidRPr="002B5C3E" w:rsidRDefault="00B85FED" w:rsidP="00B85FED">
      <w:pPr>
        <w:spacing w:after="0" w:line="240" w:lineRule="auto"/>
        <w:jc w:val="both"/>
        <w:rPr>
          <w:rFonts w:ascii="Times New Roman" w:hAnsi="Times New Roman" w:cs="Times New Roman"/>
          <w:bCs/>
          <w:szCs w:val="20"/>
        </w:rPr>
      </w:pPr>
    </w:p>
    <w:p w:rsidR="00B85FED" w:rsidRPr="002B5C3E" w:rsidRDefault="00B85FED" w:rsidP="00B85FED">
      <w:pPr>
        <w:spacing w:line="240" w:lineRule="auto"/>
        <w:jc w:val="both"/>
        <w:rPr>
          <w:rFonts w:ascii="Times New Roman" w:hAnsi="Times New Roman" w:cs="Times New Roman"/>
          <w:szCs w:val="20"/>
        </w:rPr>
      </w:pPr>
      <w:r w:rsidRPr="002B5C3E">
        <w:rPr>
          <w:rFonts w:ascii="Times New Roman" w:hAnsi="Times New Roman" w:cs="Times New Roman"/>
          <w:bCs/>
          <w:szCs w:val="20"/>
        </w:rPr>
        <w:t xml:space="preserve">VIEIRA, F.A.; GUSMÃO, E. Biometria, armazenamento de semente e emergência de plântulas de </w:t>
      </w:r>
      <w:proofErr w:type="spellStart"/>
      <w:r w:rsidRPr="002B5C3E">
        <w:rPr>
          <w:rFonts w:ascii="Times New Roman" w:hAnsi="Times New Roman" w:cs="Times New Roman"/>
          <w:bCs/>
          <w:i/>
          <w:iCs/>
          <w:szCs w:val="20"/>
        </w:rPr>
        <w:t>Talisiaesculenta</w:t>
      </w:r>
      <w:r w:rsidRPr="002B5C3E">
        <w:rPr>
          <w:rFonts w:ascii="Times New Roman" w:hAnsi="Times New Roman" w:cs="Times New Roman"/>
          <w:bCs/>
          <w:szCs w:val="20"/>
        </w:rPr>
        <w:t>Radlk</w:t>
      </w:r>
      <w:proofErr w:type="spellEnd"/>
      <w:r w:rsidRPr="002B5C3E">
        <w:rPr>
          <w:rFonts w:ascii="Times New Roman" w:hAnsi="Times New Roman" w:cs="Times New Roman"/>
          <w:bCs/>
          <w:szCs w:val="20"/>
        </w:rPr>
        <w:t>. (</w:t>
      </w:r>
      <w:proofErr w:type="spellStart"/>
      <w:r w:rsidRPr="002B5C3E">
        <w:rPr>
          <w:rFonts w:ascii="Times New Roman" w:hAnsi="Times New Roman" w:cs="Times New Roman"/>
          <w:bCs/>
          <w:szCs w:val="20"/>
        </w:rPr>
        <w:t>Sapindaceae</w:t>
      </w:r>
      <w:proofErr w:type="spellEnd"/>
      <w:r w:rsidRPr="002B5C3E">
        <w:rPr>
          <w:rFonts w:ascii="Times New Roman" w:hAnsi="Times New Roman" w:cs="Times New Roman"/>
          <w:bCs/>
          <w:szCs w:val="20"/>
        </w:rPr>
        <w:t xml:space="preserve">). </w:t>
      </w:r>
      <w:r w:rsidRPr="002B5C3E">
        <w:rPr>
          <w:rFonts w:ascii="Times New Roman" w:hAnsi="Times New Roman" w:cs="Times New Roman"/>
          <w:b/>
          <w:szCs w:val="20"/>
        </w:rPr>
        <w:t xml:space="preserve">Ciênc. </w:t>
      </w:r>
      <w:proofErr w:type="spellStart"/>
      <w:proofErr w:type="gramStart"/>
      <w:r w:rsidRPr="002B5C3E">
        <w:rPr>
          <w:rFonts w:ascii="Times New Roman" w:hAnsi="Times New Roman" w:cs="Times New Roman"/>
          <w:b/>
          <w:szCs w:val="20"/>
        </w:rPr>
        <w:t>agrotec</w:t>
      </w:r>
      <w:proofErr w:type="spellEnd"/>
      <w:r w:rsidRPr="002B5C3E">
        <w:rPr>
          <w:rFonts w:ascii="Times New Roman" w:hAnsi="Times New Roman" w:cs="Times New Roman"/>
          <w:szCs w:val="20"/>
        </w:rPr>
        <w:t>.,</w:t>
      </w:r>
      <w:proofErr w:type="gramEnd"/>
      <w:r w:rsidRPr="002B5C3E">
        <w:rPr>
          <w:rFonts w:ascii="Times New Roman" w:hAnsi="Times New Roman" w:cs="Times New Roman"/>
          <w:szCs w:val="20"/>
        </w:rPr>
        <w:t xml:space="preserve"> Lavras, v. 32, n. 4, p. 1073-1079, 2008.</w:t>
      </w:r>
    </w:p>
    <w:p w:rsidR="00B85FED" w:rsidRPr="002B5C3E" w:rsidRDefault="00B85FED" w:rsidP="00B85FED">
      <w:pPr>
        <w:spacing w:line="240" w:lineRule="auto"/>
        <w:jc w:val="both"/>
        <w:rPr>
          <w:rFonts w:ascii="Times New Roman" w:hAnsi="Times New Roman" w:cs="Times New Roman"/>
          <w:szCs w:val="20"/>
        </w:rPr>
      </w:pPr>
    </w:p>
    <w:p w:rsidR="00B85FED" w:rsidRPr="002B5C3E" w:rsidRDefault="00B85FED" w:rsidP="00B85FED">
      <w:pPr>
        <w:spacing w:after="0" w:line="240" w:lineRule="auto"/>
        <w:jc w:val="both"/>
        <w:rPr>
          <w:rFonts w:ascii="Times New Roman" w:hAnsi="Times New Roman" w:cs="Times New Roman"/>
          <w:b/>
          <w:szCs w:val="20"/>
        </w:rPr>
      </w:pPr>
    </w:p>
    <w:p w:rsidR="00B85FED" w:rsidRPr="002B5C3E" w:rsidRDefault="00B85FED" w:rsidP="00B85FED">
      <w:pPr>
        <w:autoSpaceDE w:val="0"/>
        <w:autoSpaceDN w:val="0"/>
        <w:adjustRightInd w:val="0"/>
        <w:spacing w:after="0" w:line="240" w:lineRule="auto"/>
        <w:ind w:firstLine="567"/>
        <w:jc w:val="both"/>
        <w:rPr>
          <w:rFonts w:ascii="Times New Roman" w:hAnsi="Times New Roman" w:cs="Times New Roman"/>
          <w:szCs w:val="20"/>
        </w:rPr>
      </w:pPr>
    </w:p>
    <w:p w:rsidR="00B85FED" w:rsidRPr="00B85FED" w:rsidRDefault="00B85FED" w:rsidP="00B85FED">
      <w:pPr>
        <w:jc w:val="center"/>
        <w:rPr>
          <w:rFonts w:ascii="Times New Roman" w:hAnsi="Times New Roman" w:cs="Times New Roman"/>
          <w:sz w:val="20"/>
          <w:szCs w:val="20"/>
        </w:rPr>
      </w:pPr>
    </w:p>
    <w:sectPr w:rsidR="00B85FED" w:rsidRPr="00B85F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MinionPro-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60"/>
    <w:rsid w:val="00191AC2"/>
    <w:rsid w:val="002B5C3E"/>
    <w:rsid w:val="00B85FED"/>
    <w:rsid w:val="00C42099"/>
    <w:rsid w:val="00D46D5F"/>
    <w:rsid w:val="00F458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57BB-1F43-4A79-9CB7-8025E0A0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5860"/>
    <w:rPr>
      <w:b/>
      <w:bCs/>
    </w:rPr>
  </w:style>
  <w:style w:type="paragraph" w:styleId="SemEspaamento">
    <w:name w:val="No Spacing"/>
    <w:uiPriority w:val="1"/>
    <w:qFormat/>
    <w:rsid w:val="00F45860"/>
    <w:pPr>
      <w:spacing w:after="0" w:line="240" w:lineRule="auto"/>
    </w:pPr>
  </w:style>
  <w:style w:type="character" w:customStyle="1" w:styleId="style31">
    <w:name w:val="style31"/>
    <w:basedOn w:val="Fontepargpadro"/>
    <w:rsid w:val="00B85FED"/>
    <w:rPr>
      <w:rFonts w:ascii="Verdana" w:hAnsi="Verdana" w:hint="default"/>
      <w:sz w:val="18"/>
      <w:szCs w:val="18"/>
    </w:rPr>
  </w:style>
  <w:style w:type="paragraph" w:styleId="TextosemFormatao">
    <w:name w:val="Plain Text"/>
    <w:basedOn w:val="Normal"/>
    <w:link w:val="TextosemFormataoChar"/>
    <w:unhideWhenUsed/>
    <w:rsid w:val="00B85FED"/>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85FED"/>
    <w:rPr>
      <w:rFonts w:ascii="Courier New" w:eastAsia="Times New Roman" w:hAnsi="Courier New" w:cs="Times New Roman"/>
      <w:sz w:val="20"/>
      <w:szCs w:val="20"/>
      <w:lang w:eastAsia="pt-BR"/>
    </w:rPr>
  </w:style>
  <w:style w:type="paragraph" w:styleId="NormalWeb">
    <w:name w:val="Normal (Web)"/>
    <w:basedOn w:val="Normal"/>
    <w:uiPriority w:val="99"/>
    <w:unhideWhenUsed/>
    <w:rsid w:val="00B85F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D4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46D5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dows%208\Desktop\pau%20pedra\Biometria%20Pau%20Ped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dows%208\Desktop\pau%20pedra\Biometria%20Pau%20Pedr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indows%208\Desktop\pau%20pedra\Biometria%20Pau%20Ped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indows%208\Desktop\pau%20pedra\Biometria%20Pau%20Pedr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indows%208\Desktop\pau%20pedra\Biometria%20Pau%20Pedr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indows%208\Desktop\pau%20pedra\Biometria%20Pau%20Pedr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indows%208\Desktop\pau%20pedra\Biometria%20Pau%20Ped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82344339969571"/>
          <c:y val="0.15451504406309877"/>
          <c:w val="0.74589142783774465"/>
          <c:h val="0.52762519363979798"/>
        </c:manualLayout>
      </c:layout>
      <c:barChart>
        <c:barDir val="col"/>
        <c:grouping val="clustered"/>
        <c:varyColors val="0"/>
        <c:ser>
          <c:idx val="0"/>
          <c:order val="0"/>
          <c:invertIfNegative val="0"/>
          <c:cat>
            <c:strRef>
              <c:f>'Com ala'!$N$9:$N$16</c:f>
              <c:strCache>
                <c:ptCount val="8"/>
                <c:pt idx="0">
                  <c:v>50,7-56,6</c:v>
                </c:pt>
                <c:pt idx="1">
                  <c:v>56,7-62,6</c:v>
                </c:pt>
                <c:pt idx="2">
                  <c:v>62,7-68,5</c:v>
                </c:pt>
                <c:pt idx="3">
                  <c:v>68,6-74,5</c:v>
                </c:pt>
                <c:pt idx="4">
                  <c:v>74,6-80,4</c:v>
                </c:pt>
                <c:pt idx="5">
                  <c:v>80,5-86,3</c:v>
                </c:pt>
                <c:pt idx="6">
                  <c:v>86,4-92,3</c:v>
                </c:pt>
                <c:pt idx="7">
                  <c:v>92,4-98,2</c:v>
                </c:pt>
              </c:strCache>
            </c:strRef>
          </c:cat>
          <c:val>
            <c:numRef>
              <c:f>'Com ala'!$O$9:$O$16</c:f>
              <c:numCache>
                <c:formatCode>General</c:formatCode>
                <c:ptCount val="8"/>
                <c:pt idx="0">
                  <c:v>1</c:v>
                </c:pt>
                <c:pt idx="1">
                  <c:v>8</c:v>
                </c:pt>
                <c:pt idx="2">
                  <c:v>24</c:v>
                </c:pt>
                <c:pt idx="3">
                  <c:v>36</c:v>
                </c:pt>
                <c:pt idx="4">
                  <c:v>58</c:v>
                </c:pt>
                <c:pt idx="5">
                  <c:v>49</c:v>
                </c:pt>
                <c:pt idx="6">
                  <c:v>17</c:v>
                </c:pt>
                <c:pt idx="7">
                  <c:v>7</c:v>
                </c:pt>
              </c:numCache>
            </c:numRef>
          </c:val>
        </c:ser>
        <c:dLbls>
          <c:showLegendKey val="0"/>
          <c:showVal val="0"/>
          <c:showCatName val="0"/>
          <c:showSerName val="0"/>
          <c:showPercent val="0"/>
          <c:showBubbleSize val="0"/>
        </c:dLbls>
        <c:gapWidth val="150"/>
        <c:axId val="1240705840"/>
        <c:axId val="1240713456"/>
      </c:barChart>
      <c:catAx>
        <c:axId val="1240705840"/>
        <c:scaling>
          <c:orientation val="minMax"/>
        </c:scaling>
        <c:delete val="0"/>
        <c:axPos val="b"/>
        <c:title>
          <c:tx>
            <c:rich>
              <a:bodyPr/>
              <a:lstStyle/>
              <a:p>
                <a:pPr algn="ctr" rtl="0">
                  <a:defRPr/>
                </a:pPr>
                <a:endParaRPr lang="pt-BR"/>
              </a:p>
              <a:p>
                <a:pPr algn="ctr" rtl="0">
                  <a:defRPr/>
                </a:pPr>
                <a:endParaRPr lang="pt-BR"/>
              </a:p>
              <a:p>
                <a:pPr algn="ctr" rtl="0">
                  <a:defRPr/>
                </a:pPr>
                <a:r>
                  <a:rPr lang="pt-BR"/>
                  <a:t>Classes</a:t>
                </a:r>
              </a:p>
              <a:p>
                <a:pPr algn="ctr" rtl="0">
                  <a:defRPr/>
                </a:pPr>
                <a:endParaRPr lang="pt-BR"/>
              </a:p>
            </c:rich>
          </c:tx>
          <c:layout>
            <c:manualLayout>
              <c:xMode val="edge"/>
              <c:yMode val="edge"/>
              <c:x val="0.43230302432204365"/>
              <c:y val="0.78785937908312564"/>
            </c:manualLayout>
          </c:layout>
          <c:overlay val="0"/>
        </c:title>
        <c:numFmt formatCode="General" sourceLinked="0"/>
        <c:majorTickMark val="out"/>
        <c:minorTickMark val="none"/>
        <c:tickLblPos val="nextTo"/>
        <c:crossAx val="1240713456"/>
        <c:crosses val="autoZero"/>
        <c:auto val="1"/>
        <c:lblAlgn val="ctr"/>
        <c:lblOffset val="100"/>
        <c:noMultiLvlLbl val="0"/>
      </c:catAx>
      <c:valAx>
        <c:axId val="1240713456"/>
        <c:scaling>
          <c:orientation val="minMax"/>
        </c:scaling>
        <c:delete val="0"/>
        <c:axPos val="l"/>
        <c:title>
          <c:tx>
            <c:rich>
              <a:bodyPr rot="-5400000" vert="horz"/>
              <a:lstStyle/>
              <a:p>
                <a:pPr>
                  <a:defRPr/>
                </a:pPr>
                <a:r>
                  <a:rPr lang="pt-BR"/>
                  <a:t>Frequência</a:t>
                </a:r>
              </a:p>
            </c:rich>
          </c:tx>
          <c:layout>
            <c:manualLayout>
              <c:xMode val="edge"/>
              <c:yMode val="edge"/>
              <c:x val="2.3371099695467409E-2"/>
              <c:y val="0.27062728662498231"/>
            </c:manualLayout>
          </c:layout>
          <c:overlay val="0"/>
        </c:title>
        <c:numFmt formatCode="General" sourceLinked="1"/>
        <c:majorTickMark val="out"/>
        <c:minorTickMark val="none"/>
        <c:tickLblPos val="nextTo"/>
        <c:crossAx val="1240705840"/>
        <c:crosses val="autoZero"/>
        <c:crossBetween val="between"/>
      </c:valAx>
      <c:spPr>
        <a:noFill/>
      </c:spPr>
    </c:plotArea>
    <c:plotVisOnly val="1"/>
    <c:dispBlanksAs val="gap"/>
    <c:showDLblsOverMax val="0"/>
  </c:chart>
  <c:spPr>
    <a:noFill/>
    <a:ln w="0">
      <a:noFill/>
    </a:ln>
  </c:spPr>
  <c:txPr>
    <a:bodyPr/>
    <a:lstStyle/>
    <a:p>
      <a:pPr>
        <a:defRPr sz="800">
          <a:latin typeface="Times New Roman" pitchFamily="18" charset="0"/>
          <a:cs typeface="Times New Roman"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47174329501916"/>
          <c:y val="4.0997474747474824E-2"/>
          <c:w val="0.75962814723766081"/>
          <c:h val="0.49366261320875454"/>
        </c:manualLayout>
      </c:layout>
      <c:barChart>
        <c:barDir val="col"/>
        <c:grouping val="clustered"/>
        <c:varyColors val="0"/>
        <c:ser>
          <c:idx val="0"/>
          <c:order val="0"/>
          <c:invertIfNegative val="0"/>
          <c:cat>
            <c:strRef>
              <c:f>'esp com ala'!$R$7:$R$14</c:f>
              <c:strCache>
                <c:ptCount val="8"/>
                <c:pt idx="0">
                  <c:v>6,0-7,4</c:v>
                </c:pt>
                <c:pt idx="1">
                  <c:v>7,41-8,8</c:v>
                </c:pt>
                <c:pt idx="2">
                  <c:v>8,81-10,1</c:v>
                </c:pt>
                <c:pt idx="3">
                  <c:v>10,11-11,5</c:v>
                </c:pt>
                <c:pt idx="4">
                  <c:v>11,51-12,9</c:v>
                </c:pt>
                <c:pt idx="5">
                  <c:v>12,91-14,3</c:v>
                </c:pt>
                <c:pt idx="6">
                  <c:v>14,31-15,6</c:v>
                </c:pt>
                <c:pt idx="7">
                  <c:v>1,61-17,0</c:v>
                </c:pt>
              </c:strCache>
            </c:strRef>
          </c:cat>
          <c:val>
            <c:numRef>
              <c:f>'esp com ala'!$S$7:$S$14</c:f>
              <c:numCache>
                <c:formatCode>General</c:formatCode>
                <c:ptCount val="8"/>
                <c:pt idx="0">
                  <c:v>5</c:v>
                </c:pt>
                <c:pt idx="1">
                  <c:v>4</c:v>
                </c:pt>
                <c:pt idx="2">
                  <c:v>16</c:v>
                </c:pt>
                <c:pt idx="3">
                  <c:v>64</c:v>
                </c:pt>
                <c:pt idx="4">
                  <c:v>54</c:v>
                </c:pt>
                <c:pt idx="5">
                  <c:v>35</c:v>
                </c:pt>
                <c:pt idx="6">
                  <c:v>16</c:v>
                </c:pt>
                <c:pt idx="7">
                  <c:v>6</c:v>
                </c:pt>
              </c:numCache>
            </c:numRef>
          </c:val>
        </c:ser>
        <c:dLbls>
          <c:showLegendKey val="0"/>
          <c:showVal val="0"/>
          <c:showCatName val="0"/>
          <c:showSerName val="0"/>
          <c:showPercent val="0"/>
          <c:showBubbleSize val="0"/>
        </c:dLbls>
        <c:gapWidth val="150"/>
        <c:axId val="1238912080"/>
        <c:axId val="1238912624"/>
      </c:barChart>
      <c:catAx>
        <c:axId val="1238912080"/>
        <c:scaling>
          <c:orientation val="minMax"/>
        </c:scaling>
        <c:delete val="0"/>
        <c:axPos val="b"/>
        <c:title>
          <c:tx>
            <c:rich>
              <a:bodyPr/>
              <a:lstStyle/>
              <a:p>
                <a:pPr>
                  <a:defRPr sz="800"/>
                </a:pPr>
                <a:r>
                  <a:rPr lang="pt-BR" sz="800"/>
                  <a:t>Classes</a:t>
                </a:r>
              </a:p>
            </c:rich>
          </c:tx>
          <c:overlay val="0"/>
        </c:title>
        <c:numFmt formatCode="General"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t-BR"/>
          </a:p>
        </c:txPr>
        <c:crossAx val="1238912624"/>
        <c:crosses val="autoZero"/>
        <c:auto val="1"/>
        <c:lblAlgn val="ctr"/>
        <c:lblOffset val="100"/>
        <c:noMultiLvlLbl val="0"/>
      </c:catAx>
      <c:valAx>
        <c:axId val="1238912624"/>
        <c:scaling>
          <c:orientation val="minMax"/>
        </c:scaling>
        <c:delete val="0"/>
        <c:axPos val="l"/>
        <c:title>
          <c:tx>
            <c:rich>
              <a:bodyPr rot="-5400000" vert="horz"/>
              <a:lstStyle/>
              <a:p>
                <a:pPr>
                  <a:defRPr sz="800">
                    <a:latin typeface="Times New Roman" panose="02020603050405020304" pitchFamily="18" charset="0"/>
                    <a:cs typeface="Times New Roman" panose="02020603050405020304" pitchFamily="18" charset="0"/>
                  </a:defRPr>
                </a:pPr>
                <a:r>
                  <a:rPr lang="pt-BR" sz="800">
                    <a:latin typeface="Times New Roman" panose="02020603050405020304" pitchFamily="18" charset="0"/>
                    <a:cs typeface="Times New Roman" panose="02020603050405020304" pitchFamily="18" charset="0"/>
                  </a:rPr>
                  <a:t>Frequência</a:t>
                </a:r>
              </a:p>
            </c:rich>
          </c:tx>
          <c:layout>
            <c:manualLayout>
              <c:xMode val="edge"/>
              <c:yMode val="edge"/>
              <c:x val="7.5571633825944395E-2"/>
              <c:y val="0.10999783830523142"/>
            </c:manualLayout>
          </c:layout>
          <c:overlay val="0"/>
        </c:title>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t-BR"/>
          </a:p>
        </c:txPr>
        <c:crossAx val="1238912080"/>
        <c:crosses val="autoZero"/>
        <c:crossBetween val="between"/>
      </c:valAx>
      <c:spPr>
        <a:noFill/>
      </c:spPr>
    </c:plotArea>
    <c:plotVisOnly val="1"/>
    <c:dispBlanksAs val="gap"/>
    <c:showDLblsOverMax val="0"/>
  </c:chart>
  <c:spPr>
    <a:noFill/>
    <a:ln>
      <a:noFill/>
    </a:ln>
  </c:spPr>
  <c:txPr>
    <a:bodyPr/>
    <a:lstStyle/>
    <a:p>
      <a:pPr>
        <a:defRPr sz="500">
          <a:latin typeface="Arial" pitchFamily="34" charset="0"/>
          <a:cs typeface="Arial"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1550743657043"/>
          <c:y val="6.8806721060915524E-2"/>
          <c:w val="0.81582054178776253"/>
          <c:h val="0.60814104997486385"/>
        </c:manualLayout>
      </c:layout>
      <c:barChart>
        <c:barDir val="col"/>
        <c:grouping val="clustered"/>
        <c:varyColors val="0"/>
        <c:ser>
          <c:idx val="1"/>
          <c:order val="1"/>
          <c:invertIfNegative val="0"/>
          <c:cat>
            <c:multiLvlStrRef>
              <c:f>'esp com ala'!$R$7:$R$14</c:f>
            </c:multiLvlStrRef>
          </c:cat>
          <c:val>
            <c:numRef>
              <c:f>'esp com ala'!$S$7:$S$14</c:f>
            </c:numRef>
          </c:val>
        </c:ser>
        <c:ser>
          <c:idx val="0"/>
          <c:order val="0"/>
          <c:tx>
            <c:strRef>
              <c:f>'LARG COM ALA '!$J$33</c:f>
              <c:strCache>
                <c:ptCount val="1"/>
                <c:pt idx="0">
                  <c:v>FREQUÊNCIA</c:v>
                </c:pt>
              </c:strCache>
            </c:strRef>
          </c:tx>
          <c:invertIfNegative val="0"/>
          <c:cat>
            <c:strRef>
              <c:f>'LARG COM ALA '!$I$34:$I$41</c:f>
              <c:strCache>
                <c:ptCount val="8"/>
                <c:pt idx="0">
                  <c:v>12,4-13,6</c:v>
                </c:pt>
                <c:pt idx="1">
                  <c:v>13,6-14,8</c:v>
                </c:pt>
                <c:pt idx="2">
                  <c:v>14,8-15,9</c:v>
                </c:pt>
                <c:pt idx="3">
                  <c:v>15,9-17,1</c:v>
                </c:pt>
                <c:pt idx="4">
                  <c:v>17,1-18,3</c:v>
                </c:pt>
                <c:pt idx="5">
                  <c:v>18,3-19,5</c:v>
                </c:pt>
                <c:pt idx="6">
                  <c:v>19,5-20,6</c:v>
                </c:pt>
                <c:pt idx="7">
                  <c:v>20,6-21,8</c:v>
                </c:pt>
              </c:strCache>
            </c:strRef>
          </c:cat>
          <c:val>
            <c:numRef>
              <c:f>'LARG COM ALA '!$J$34:$J$41</c:f>
              <c:numCache>
                <c:formatCode>General</c:formatCode>
                <c:ptCount val="8"/>
                <c:pt idx="0">
                  <c:v>2</c:v>
                </c:pt>
                <c:pt idx="1">
                  <c:v>10</c:v>
                </c:pt>
                <c:pt idx="2">
                  <c:v>48</c:v>
                </c:pt>
                <c:pt idx="3">
                  <c:v>69</c:v>
                </c:pt>
                <c:pt idx="4">
                  <c:v>45</c:v>
                </c:pt>
                <c:pt idx="5">
                  <c:v>21</c:v>
                </c:pt>
                <c:pt idx="6">
                  <c:v>4</c:v>
                </c:pt>
                <c:pt idx="7">
                  <c:v>1</c:v>
                </c:pt>
              </c:numCache>
            </c:numRef>
          </c:val>
        </c:ser>
        <c:dLbls>
          <c:showLegendKey val="0"/>
          <c:showVal val="0"/>
          <c:showCatName val="0"/>
          <c:showSerName val="0"/>
          <c:showPercent val="0"/>
          <c:showBubbleSize val="0"/>
        </c:dLbls>
        <c:gapWidth val="150"/>
        <c:axId val="1238925136"/>
        <c:axId val="1238921328"/>
      </c:barChart>
      <c:catAx>
        <c:axId val="1238925136"/>
        <c:scaling>
          <c:orientation val="minMax"/>
        </c:scaling>
        <c:delete val="0"/>
        <c:axPos val="b"/>
        <c:title>
          <c:tx>
            <c:rich>
              <a:bodyPr/>
              <a:lstStyle/>
              <a:p>
                <a:pPr>
                  <a:defRPr/>
                </a:pPr>
                <a:r>
                  <a:rPr lang="pt-BR"/>
                  <a:t>Classe </a:t>
                </a:r>
              </a:p>
            </c:rich>
          </c:tx>
          <c:layout>
            <c:manualLayout>
              <c:xMode val="edge"/>
              <c:yMode val="edge"/>
              <c:x val="0.46493508414719104"/>
              <c:y val="0.91630005437626327"/>
            </c:manualLayout>
          </c:layout>
          <c:overlay val="0"/>
        </c:title>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t-BR"/>
          </a:p>
        </c:txPr>
        <c:crossAx val="1238921328"/>
        <c:crosses val="autoZero"/>
        <c:auto val="1"/>
        <c:lblAlgn val="ctr"/>
        <c:lblOffset val="100"/>
        <c:noMultiLvlLbl val="0"/>
      </c:catAx>
      <c:valAx>
        <c:axId val="1238921328"/>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pt-BR">
                    <a:latin typeface="Times New Roman" panose="02020603050405020304" pitchFamily="18" charset="0"/>
                    <a:cs typeface="Times New Roman" panose="02020603050405020304" pitchFamily="18" charset="0"/>
                  </a:rPr>
                  <a:t>Frequência</a:t>
                </a:r>
              </a:p>
            </c:rich>
          </c:tx>
          <c:layout>
            <c:manualLayout>
              <c:xMode val="edge"/>
              <c:yMode val="edge"/>
              <c:x val="2.298665128756178E-2"/>
              <c:y val="0.26261614121417731"/>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t-BR"/>
          </a:p>
        </c:txPr>
        <c:crossAx val="1238925136"/>
        <c:crosses val="autoZero"/>
        <c:crossBetween val="between"/>
      </c:valAx>
      <c:spPr>
        <a:noFill/>
      </c:spPr>
    </c:plotArea>
    <c:plotVisOnly val="1"/>
    <c:dispBlanksAs val="gap"/>
    <c:showDLblsOverMax val="0"/>
  </c:chart>
  <c:spPr>
    <a:noFill/>
    <a:ln>
      <a:noFill/>
    </a:ln>
  </c:spPr>
  <c:txPr>
    <a:bodyPr/>
    <a:lstStyle/>
    <a:p>
      <a:pPr>
        <a:defRPr sz="800">
          <a:latin typeface="Arial" pitchFamily="34" charset="0"/>
          <a:cs typeface="Arial"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40541606118991"/>
          <c:y val="0.16434534792061881"/>
          <c:w val="0.7669027744922442"/>
          <c:h val="0.47158407179301037"/>
        </c:manualLayout>
      </c:layout>
      <c:barChart>
        <c:barDir val="col"/>
        <c:grouping val="clustered"/>
        <c:varyColors val="0"/>
        <c:ser>
          <c:idx val="0"/>
          <c:order val="0"/>
          <c:invertIfNegative val="0"/>
          <c:cat>
            <c:strRef>
              <c:f>'sem ala'!$K$8:$K$15</c:f>
              <c:strCache>
                <c:ptCount val="8"/>
                <c:pt idx="0">
                  <c:v>15,6-16,5</c:v>
                </c:pt>
                <c:pt idx="1">
                  <c:v>16,5-17,3</c:v>
                </c:pt>
                <c:pt idx="2">
                  <c:v>17,3-18,2</c:v>
                </c:pt>
                <c:pt idx="3">
                  <c:v>18,2-19,1</c:v>
                </c:pt>
                <c:pt idx="4">
                  <c:v>19,1-19,9</c:v>
                </c:pt>
                <c:pt idx="5">
                  <c:v>19,9-20,8</c:v>
                </c:pt>
                <c:pt idx="6">
                  <c:v>20,8-21,6</c:v>
                </c:pt>
                <c:pt idx="7">
                  <c:v>21,6-22,5</c:v>
                </c:pt>
              </c:strCache>
            </c:strRef>
          </c:cat>
          <c:val>
            <c:numRef>
              <c:f>'sem ala'!$L$8:$L$15</c:f>
              <c:numCache>
                <c:formatCode>General</c:formatCode>
                <c:ptCount val="8"/>
                <c:pt idx="0">
                  <c:v>9</c:v>
                </c:pt>
                <c:pt idx="1">
                  <c:v>13</c:v>
                </c:pt>
                <c:pt idx="2">
                  <c:v>27</c:v>
                </c:pt>
                <c:pt idx="3">
                  <c:v>51</c:v>
                </c:pt>
                <c:pt idx="4">
                  <c:v>58</c:v>
                </c:pt>
                <c:pt idx="5">
                  <c:v>92</c:v>
                </c:pt>
                <c:pt idx="6">
                  <c:v>7</c:v>
                </c:pt>
                <c:pt idx="7">
                  <c:v>2</c:v>
                </c:pt>
              </c:numCache>
            </c:numRef>
          </c:val>
        </c:ser>
        <c:dLbls>
          <c:showLegendKey val="0"/>
          <c:showVal val="0"/>
          <c:showCatName val="0"/>
          <c:showSerName val="0"/>
          <c:showPercent val="0"/>
          <c:showBubbleSize val="0"/>
        </c:dLbls>
        <c:gapWidth val="150"/>
        <c:axId val="1128333888"/>
        <c:axId val="1128340416"/>
      </c:barChart>
      <c:catAx>
        <c:axId val="1128333888"/>
        <c:scaling>
          <c:orientation val="minMax"/>
        </c:scaling>
        <c:delete val="0"/>
        <c:axPos val="b"/>
        <c:title>
          <c:tx>
            <c:rich>
              <a:bodyPr/>
              <a:lstStyle/>
              <a:p>
                <a:pPr>
                  <a:defRPr/>
                </a:pPr>
                <a:r>
                  <a:rPr lang="pt-BR"/>
                  <a:t>Classes</a:t>
                </a:r>
              </a:p>
            </c:rich>
          </c:tx>
          <c:layout>
            <c:manualLayout>
              <c:xMode val="edge"/>
              <c:yMode val="edge"/>
              <c:x val="0.36013099633357837"/>
              <c:y val="0.88647715407673988"/>
            </c:manualLayout>
          </c:layout>
          <c:overlay val="0"/>
        </c:title>
        <c:numFmt formatCode="General" sourceLinked="0"/>
        <c:majorTickMark val="out"/>
        <c:minorTickMark val="none"/>
        <c:tickLblPos val="nextTo"/>
        <c:txPr>
          <a:bodyPr/>
          <a:lstStyle/>
          <a:p>
            <a:pPr>
              <a:defRPr sz="800"/>
            </a:pPr>
            <a:endParaRPr lang="pt-BR"/>
          </a:p>
        </c:txPr>
        <c:crossAx val="1128340416"/>
        <c:crosses val="autoZero"/>
        <c:auto val="1"/>
        <c:lblAlgn val="ctr"/>
        <c:lblOffset val="100"/>
        <c:noMultiLvlLbl val="0"/>
      </c:catAx>
      <c:valAx>
        <c:axId val="1128340416"/>
        <c:scaling>
          <c:orientation val="minMax"/>
        </c:scaling>
        <c:delete val="0"/>
        <c:axPos val="l"/>
        <c:title>
          <c:tx>
            <c:rich>
              <a:bodyPr rot="-5400000" vert="horz"/>
              <a:lstStyle/>
              <a:p>
                <a:pPr>
                  <a:defRPr/>
                </a:pPr>
                <a:r>
                  <a:rPr lang="pt-BR"/>
                  <a:t>Frequência </a:t>
                </a:r>
              </a:p>
            </c:rich>
          </c:tx>
          <c:layout>
            <c:manualLayout>
              <c:xMode val="edge"/>
              <c:yMode val="edge"/>
              <c:x val="6.1369709268751037E-2"/>
              <c:y val="0.22694365880797332"/>
            </c:manualLayout>
          </c:layout>
          <c:overlay val="0"/>
        </c:title>
        <c:numFmt formatCode="General" sourceLinked="1"/>
        <c:majorTickMark val="out"/>
        <c:minorTickMark val="none"/>
        <c:tickLblPos val="nextTo"/>
        <c:txPr>
          <a:bodyPr/>
          <a:lstStyle/>
          <a:p>
            <a:pPr>
              <a:defRPr sz="800"/>
            </a:pPr>
            <a:endParaRPr lang="pt-BR"/>
          </a:p>
        </c:txPr>
        <c:crossAx val="1128333888"/>
        <c:crosses val="autoZero"/>
        <c:crossBetween val="between"/>
      </c:valAx>
      <c:spPr>
        <a:noFill/>
        <a:ln w="25400">
          <a:noFill/>
        </a:ln>
      </c:spPr>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54544967593497"/>
          <c:y val="7.5325237297599101E-2"/>
          <c:w val="0.70469862459547239"/>
          <c:h val="0.52026591289782242"/>
        </c:manualLayout>
      </c:layout>
      <c:barChart>
        <c:barDir val="col"/>
        <c:grouping val="clustered"/>
        <c:varyColors val="0"/>
        <c:ser>
          <c:idx val="0"/>
          <c:order val="0"/>
          <c:invertIfNegative val="0"/>
          <c:cat>
            <c:strRef>
              <c:f>'sem ala'!$K$32:$K$39</c:f>
              <c:strCache>
                <c:ptCount val="8"/>
                <c:pt idx="0">
                  <c:v>2,3-2,8</c:v>
                </c:pt>
                <c:pt idx="1">
                  <c:v>2,8-3,3</c:v>
                </c:pt>
                <c:pt idx="2">
                  <c:v>3,3-3,8</c:v>
                </c:pt>
                <c:pt idx="3">
                  <c:v>3,8-4,3</c:v>
                </c:pt>
                <c:pt idx="4">
                  <c:v>4,3-4,8</c:v>
                </c:pt>
                <c:pt idx="5">
                  <c:v>4,8-5,3</c:v>
                </c:pt>
                <c:pt idx="6">
                  <c:v>5,3-5,8</c:v>
                </c:pt>
                <c:pt idx="7">
                  <c:v>5,8-6,3</c:v>
                </c:pt>
              </c:strCache>
            </c:strRef>
          </c:cat>
          <c:val>
            <c:numRef>
              <c:f>'sem ala'!$L$32:$L$39</c:f>
              <c:numCache>
                <c:formatCode>General</c:formatCode>
                <c:ptCount val="8"/>
                <c:pt idx="0">
                  <c:v>2</c:v>
                </c:pt>
                <c:pt idx="1">
                  <c:v>3</c:v>
                </c:pt>
                <c:pt idx="2">
                  <c:v>13</c:v>
                </c:pt>
                <c:pt idx="3">
                  <c:v>46</c:v>
                </c:pt>
                <c:pt idx="4">
                  <c:v>70</c:v>
                </c:pt>
                <c:pt idx="5">
                  <c:v>44</c:v>
                </c:pt>
                <c:pt idx="6">
                  <c:v>17</c:v>
                </c:pt>
                <c:pt idx="7">
                  <c:v>5</c:v>
                </c:pt>
              </c:numCache>
            </c:numRef>
          </c:val>
        </c:ser>
        <c:dLbls>
          <c:showLegendKey val="0"/>
          <c:showVal val="0"/>
          <c:showCatName val="0"/>
          <c:showSerName val="0"/>
          <c:showPercent val="0"/>
          <c:showBubbleSize val="0"/>
        </c:dLbls>
        <c:gapWidth val="150"/>
        <c:axId val="1128326272"/>
        <c:axId val="1131562784"/>
      </c:barChart>
      <c:catAx>
        <c:axId val="1128326272"/>
        <c:scaling>
          <c:orientation val="minMax"/>
        </c:scaling>
        <c:delete val="0"/>
        <c:axPos val="b"/>
        <c:title>
          <c:tx>
            <c:rich>
              <a:bodyPr/>
              <a:lstStyle/>
              <a:p>
                <a:pPr>
                  <a:defRPr/>
                </a:pPr>
                <a:r>
                  <a:rPr lang="pt-BR"/>
                  <a:t>Classes</a:t>
                </a:r>
              </a:p>
            </c:rich>
          </c:tx>
          <c:overlay val="0"/>
        </c:title>
        <c:numFmt formatCode="General" sourceLinked="0"/>
        <c:majorTickMark val="out"/>
        <c:minorTickMark val="none"/>
        <c:tickLblPos val="nextTo"/>
        <c:txPr>
          <a:bodyPr/>
          <a:lstStyle/>
          <a:p>
            <a:pPr>
              <a:defRPr sz="800"/>
            </a:pPr>
            <a:endParaRPr lang="pt-BR"/>
          </a:p>
        </c:txPr>
        <c:crossAx val="1131562784"/>
        <c:crosses val="autoZero"/>
        <c:auto val="1"/>
        <c:lblAlgn val="ctr"/>
        <c:lblOffset val="100"/>
        <c:noMultiLvlLbl val="0"/>
      </c:catAx>
      <c:valAx>
        <c:axId val="1131562784"/>
        <c:scaling>
          <c:orientation val="minMax"/>
        </c:scaling>
        <c:delete val="0"/>
        <c:axPos val="l"/>
        <c:title>
          <c:tx>
            <c:rich>
              <a:bodyPr rot="-5400000" vert="horz"/>
              <a:lstStyle/>
              <a:p>
                <a:pPr>
                  <a:defRPr/>
                </a:pPr>
                <a:r>
                  <a:rPr lang="pt-BR"/>
                  <a:t>Frequência</a:t>
                </a:r>
              </a:p>
            </c:rich>
          </c:tx>
          <c:overlay val="0"/>
        </c:title>
        <c:numFmt formatCode="General" sourceLinked="1"/>
        <c:majorTickMark val="out"/>
        <c:minorTickMark val="none"/>
        <c:tickLblPos val="nextTo"/>
        <c:txPr>
          <a:bodyPr/>
          <a:lstStyle/>
          <a:p>
            <a:pPr>
              <a:defRPr sz="800"/>
            </a:pPr>
            <a:endParaRPr lang="pt-BR"/>
          </a:p>
        </c:txPr>
        <c:crossAx val="1128326272"/>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04406373378455"/>
          <c:y val="8.1820919370698228E-2"/>
          <c:w val="0.8044004811898513"/>
          <c:h val="0.5621139545056868"/>
        </c:manualLayout>
      </c:layout>
      <c:barChart>
        <c:barDir val="col"/>
        <c:grouping val="clustered"/>
        <c:varyColors val="0"/>
        <c:ser>
          <c:idx val="0"/>
          <c:order val="0"/>
          <c:invertIfNegative val="0"/>
          <c:cat>
            <c:strRef>
              <c:f>'sem ala'!$K$19:$K$26</c:f>
              <c:strCache>
                <c:ptCount val="8"/>
                <c:pt idx="0">
                  <c:v>5,7-6,5</c:v>
                </c:pt>
                <c:pt idx="1">
                  <c:v>6,5-7,3</c:v>
                </c:pt>
                <c:pt idx="2">
                  <c:v>7,3-8,1</c:v>
                </c:pt>
                <c:pt idx="3">
                  <c:v>8,1-8,9</c:v>
                </c:pt>
                <c:pt idx="4">
                  <c:v>8,9-9,6</c:v>
                </c:pt>
                <c:pt idx="5">
                  <c:v>9,6-10,4</c:v>
                </c:pt>
                <c:pt idx="6">
                  <c:v>10,4-11,2</c:v>
                </c:pt>
                <c:pt idx="7">
                  <c:v>11,2-12</c:v>
                </c:pt>
              </c:strCache>
            </c:strRef>
          </c:cat>
          <c:val>
            <c:numRef>
              <c:f>'sem ala'!$L$19:$L$26</c:f>
              <c:numCache>
                <c:formatCode>General</c:formatCode>
                <c:ptCount val="8"/>
                <c:pt idx="0">
                  <c:v>3</c:v>
                </c:pt>
                <c:pt idx="1">
                  <c:v>1</c:v>
                </c:pt>
                <c:pt idx="2">
                  <c:v>6</c:v>
                </c:pt>
                <c:pt idx="3">
                  <c:v>21</c:v>
                </c:pt>
                <c:pt idx="4">
                  <c:v>48</c:v>
                </c:pt>
                <c:pt idx="5">
                  <c:v>65</c:v>
                </c:pt>
                <c:pt idx="6">
                  <c:v>51</c:v>
                </c:pt>
                <c:pt idx="7">
                  <c:v>5</c:v>
                </c:pt>
              </c:numCache>
            </c:numRef>
          </c:val>
        </c:ser>
        <c:dLbls>
          <c:showLegendKey val="0"/>
          <c:showVal val="0"/>
          <c:showCatName val="0"/>
          <c:showSerName val="0"/>
          <c:showPercent val="0"/>
          <c:showBubbleSize val="0"/>
        </c:dLbls>
        <c:gapWidth val="150"/>
        <c:axId val="1131567136"/>
        <c:axId val="1131567680"/>
      </c:barChart>
      <c:catAx>
        <c:axId val="1131567136"/>
        <c:scaling>
          <c:orientation val="minMax"/>
        </c:scaling>
        <c:delete val="0"/>
        <c:axPos val="b"/>
        <c:title>
          <c:tx>
            <c:rich>
              <a:bodyPr/>
              <a:lstStyle/>
              <a:p>
                <a:pPr>
                  <a:defRPr/>
                </a:pPr>
                <a:r>
                  <a:rPr lang="pt-BR"/>
                  <a:t>Classes</a:t>
                </a:r>
              </a:p>
            </c:rich>
          </c:tx>
          <c:overlay val="0"/>
        </c:title>
        <c:numFmt formatCode="General" sourceLinked="0"/>
        <c:majorTickMark val="out"/>
        <c:minorTickMark val="none"/>
        <c:tickLblPos val="nextTo"/>
        <c:txPr>
          <a:bodyPr/>
          <a:lstStyle/>
          <a:p>
            <a:pPr>
              <a:defRPr sz="800"/>
            </a:pPr>
            <a:endParaRPr lang="pt-BR"/>
          </a:p>
        </c:txPr>
        <c:crossAx val="1131567680"/>
        <c:crosses val="autoZero"/>
        <c:auto val="1"/>
        <c:lblAlgn val="ctr"/>
        <c:lblOffset val="100"/>
        <c:noMultiLvlLbl val="0"/>
      </c:catAx>
      <c:valAx>
        <c:axId val="1131567680"/>
        <c:scaling>
          <c:orientation val="minMax"/>
        </c:scaling>
        <c:delete val="0"/>
        <c:axPos val="l"/>
        <c:title>
          <c:tx>
            <c:rich>
              <a:bodyPr rot="-5400000" vert="horz"/>
              <a:lstStyle/>
              <a:p>
                <a:pPr>
                  <a:defRPr/>
                </a:pPr>
                <a:r>
                  <a:rPr lang="pt-BR"/>
                  <a:t>Frequência</a:t>
                </a:r>
              </a:p>
            </c:rich>
          </c:tx>
          <c:layout>
            <c:manualLayout>
              <c:xMode val="edge"/>
              <c:yMode val="edge"/>
              <c:x val="3.7500000000000006E-2"/>
              <c:y val="0.16592551622418836"/>
            </c:manualLayout>
          </c:layout>
          <c:overlay val="0"/>
        </c:title>
        <c:numFmt formatCode="General" sourceLinked="1"/>
        <c:majorTickMark val="out"/>
        <c:minorTickMark val="none"/>
        <c:tickLblPos val="nextTo"/>
        <c:txPr>
          <a:bodyPr/>
          <a:lstStyle/>
          <a:p>
            <a:pPr>
              <a:defRPr sz="800"/>
            </a:pPr>
            <a:endParaRPr lang="pt-BR"/>
          </a:p>
        </c:txPr>
        <c:crossAx val="1131567136"/>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80082688778938"/>
          <c:y val="0.12084499854184894"/>
          <c:w val="0.7029770283139386"/>
          <c:h val="0.5713732137649461"/>
        </c:manualLayout>
      </c:layout>
      <c:barChart>
        <c:barDir val="col"/>
        <c:grouping val="clustered"/>
        <c:varyColors val="0"/>
        <c:ser>
          <c:idx val="0"/>
          <c:order val="0"/>
          <c:invertIfNegative val="0"/>
          <c:cat>
            <c:strRef>
              <c:f>pesosemala!$H$8:$H$14</c:f>
              <c:strCache>
                <c:ptCount val="7"/>
                <c:pt idx="0">
                  <c:v>0,13-0,20</c:v>
                </c:pt>
                <c:pt idx="1">
                  <c:v>0,20-0,26</c:v>
                </c:pt>
                <c:pt idx="2">
                  <c:v>0,27-0,33</c:v>
                </c:pt>
                <c:pt idx="3">
                  <c:v>0,34-0,40</c:v>
                </c:pt>
                <c:pt idx="4">
                  <c:v>0,41-0,46</c:v>
                </c:pt>
                <c:pt idx="5">
                  <c:v>0,46-0,53</c:v>
                </c:pt>
                <c:pt idx="6">
                  <c:v>0,54-0,60</c:v>
                </c:pt>
              </c:strCache>
            </c:strRef>
          </c:cat>
          <c:val>
            <c:numRef>
              <c:f>pesosemala!$I$8:$I$14</c:f>
              <c:numCache>
                <c:formatCode>General</c:formatCode>
                <c:ptCount val="7"/>
                <c:pt idx="0">
                  <c:v>3</c:v>
                </c:pt>
                <c:pt idx="1">
                  <c:v>14</c:v>
                </c:pt>
                <c:pt idx="2">
                  <c:v>36</c:v>
                </c:pt>
                <c:pt idx="3">
                  <c:v>87</c:v>
                </c:pt>
                <c:pt idx="4">
                  <c:v>35</c:v>
                </c:pt>
                <c:pt idx="5">
                  <c:v>19</c:v>
                </c:pt>
                <c:pt idx="6">
                  <c:v>6</c:v>
                </c:pt>
              </c:numCache>
            </c:numRef>
          </c:val>
        </c:ser>
        <c:dLbls>
          <c:showLegendKey val="0"/>
          <c:showVal val="0"/>
          <c:showCatName val="0"/>
          <c:showSerName val="0"/>
          <c:showPercent val="0"/>
          <c:showBubbleSize val="0"/>
        </c:dLbls>
        <c:gapWidth val="150"/>
        <c:axId val="1406837216"/>
        <c:axId val="1233963856"/>
      </c:barChart>
      <c:catAx>
        <c:axId val="1406837216"/>
        <c:scaling>
          <c:orientation val="minMax"/>
        </c:scaling>
        <c:delete val="0"/>
        <c:axPos val="b"/>
        <c:title>
          <c:tx>
            <c:rich>
              <a:bodyPr/>
              <a:lstStyle/>
              <a:p>
                <a:pPr>
                  <a:defRPr/>
                </a:pPr>
                <a:r>
                  <a:rPr lang="pt-BR"/>
                  <a:t>Classes</a:t>
                </a:r>
              </a:p>
            </c:rich>
          </c:tx>
          <c:overlay val="0"/>
        </c:title>
        <c:numFmt formatCode="General" sourceLinked="0"/>
        <c:majorTickMark val="out"/>
        <c:minorTickMark val="none"/>
        <c:tickLblPos val="nextTo"/>
        <c:txPr>
          <a:bodyPr/>
          <a:lstStyle/>
          <a:p>
            <a:pPr>
              <a:defRPr sz="800"/>
            </a:pPr>
            <a:endParaRPr lang="pt-BR"/>
          </a:p>
        </c:txPr>
        <c:crossAx val="1233963856"/>
        <c:crosses val="autoZero"/>
        <c:auto val="1"/>
        <c:lblAlgn val="ctr"/>
        <c:lblOffset val="100"/>
        <c:noMultiLvlLbl val="0"/>
      </c:catAx>
      <c:valAx>
        <c:axId val="1233963856"/>
        <c:scaling>
          <c:orientation val="minMax"/>
        </c:scaling>
        <c:delete val="0"/>
        <c:axPos val="l"/>
        <c:title>
          <c:tx>
            <c:rich>
              <a:bodyPr rot="-5400000" vert="horz"/>
              <a:lstStyle/>
              <a:p>
                <a:pPr>
                  <a:defRPr>
                    <a:latin typeface="Times New Roman" pitchFamily="18" charset="0"/>
                    <a:cs typeface="Times New Roman" pitchFamily="18" charset="0"/>
                  </a:defRPr>
                </a:pPr>
                <a:r>
                  <a:rPr lang="pt-BR">
                    <a:latin typeface="Times New Roman" pitchFamily="18" charset="0"/>
                    <a:cs typeface="Times New Roman" pitchFamily="18" charset="0"/>
                  </a:rPr>
                  <a:t>Frequência</a:t>
                </a:r>
              </a:p>
            </c:rich>
          </c:tx>
          <c:overlay val="0"/>
        </c:title>
        <c:numFmt formatCode="General" sourceLinked="1"/>
        <c:majorTickMark val="out"/>
        <c:minorTickMark val="none"/>
        <c:tickLblPos val="nextTo"/>
        <c:txPr>
          <a:bodyPr/>
          <a:lstStyle/>
          <a:p>
            <a:pPr>
              <a:defRPr sz="800"/>
            </a:pPr>
            <a:endParaRPr lang="pt-BR"/>
          </a:p>
        </c:txPr>
        <c:crossAx val="1406837216"/>
        <c:crosses val="autoZero"/>
        <c:crossBetween val="between"/>
      </c:valAx>
    </c:plotArea>
    <c:plotVisOnly val="1"/>
    <c:dispBlanksAs val="gap"/>
    <c:showDLblsOverMax val="0"/>
  </c:chart>
  <c:spPr>
    <a:ln>
      <a:noFill/>
    </a:ln>
  </c:spPr>
  <c:txPr>
    <a:bodyPr/>
    <a:lstStyle/>
    <a:p>
      <a:pPr>
        <a:defRPr sz="800">
          <a:latin typeface="Arial"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3437</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2</cp:revision>
  <dcterms:created xsi:type="dcterms:W3CDTF">2017-01-28T20:22:00Z</dcterms:created>
  <dcterms:modified xsi:type="dcterms:W3CDTF">2017-01-28T20:22:00Z</dcterms:modified>
</cp:coreProperties>
</file>